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overflowPunct w:val="false"/>
        <w:spacing w:before="171" w:after="0"/>
        <w:jc w:val="center"/>
        <w:rPr/>
      </w:pPr>
      <w:bookmarkStart w:id="0" w:name="_GoBack"/>
      <w:bookmarkEnd w:id="0"/>
      <w:r>
        <w:rPr>
          <w:rFonts w:cs="Arial" w:ascii="Arial" w:hAnsi="Arial"/>
          <w:b/>
          <w:color w:val="FFFFFF"/>
          <w:position w:val="3"/>
          <w:sz w:val="37"/>
          <w:szCs w:val="37"/>
          <w:shd w:fill="043479" w:val="clear"/>
        </w:rPr>
        <w:t xml:space="preserve"> </w:t>
      </w:r>
      <w:r>
        <w:rPr>
          <w:rFonts w:cs="Arial" w:ascii="Arial" w:hAnsi="Arial"/>
          <w:b/>
          <w:color w:val="FFFFFF"/>
          <w:w w:val="105"/>
          <w:position w:val="3"/>
          <w:sz w:val="37"/>
          <w:szCs w:val="37"/>
          <w:shd w:fill="043479" w:val="clear"/>
        </w:rPr>
        <w:t>WYMAGANIA EDUKACYJNE Z FIZYKI DLA KLASY I W II LO W MALBORKU "ODKRYĆ FIZYKĘ1"zakres podstawowy</w:t>
      </w:r>
    </w:p>
    <w:p>
      <w:pPr>
        <w:pStyle w:val="Tretekstu"/>
        <w:overflowPunct w:val="false"/>
        <w:spacing w:lineRule="auto" w:line="360" w:before="120" w:after="240"/>
        <w:rPr>
          <w:sz w:val="22"/>
          <w:szCs w:val="22"/>
        </w:rPr>
      </w:pPr>
      <w:r>
        <w:rPr>
          <w:color w:val="221F1F"/>
          <w:w w:val="105"/>
          <w:sz w:val="22"/>
          <w:szCs w:val="22"/>
        </w:rPr>
        <w:t>Nauczyciele uczący: Dorota Konefał, Janusz Szumała</w:t>
      </w:r>
    </w:p>
    <w:p>
      <w:pPr>
        <w:pStyle w:val="Nagwek1"/>
        <w:overflowPunct w:val="false"/>
        <w:spacing w:lineRule="auto" w:line="360" w:before="0" w:after="0"/>
        <w:ind w:left="454" w:hanging="0"/>
        <w:rPr>
          <w:rFonts w:ascii="Arial" w:hAnsi="Arial" w:cs="Arial"/>
          <w:b/>
          <w:b/>
          <w:color w:val="221F1F"/>
          <w:w w:val="110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34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8425" cy="98425"/>
                <wp:effectExtent l="0" t="0" r="0" b="0"/>
                <wp:wrapNone/>
                <wp:docPr id="1" name="Freeform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20" cy="979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Arial" w:ascii="Arial" w:hAnsi="Arial"/>
          <w:b/>
          <w:color w:val="221F1F"/>
          <w:w w:val="110"/>
        </w:rPr>
        <w:t>Zasady ogólne</w:t>
      </w:r>
    </w:p>
    <w:p>
      <w:pPr>
        <w:pStyle w:val="ListParagraph"/>
        <w:numPr>
          <w:ilvl w:val="0"/>
          <w:numId w:val="43"/>
        </w:numPr>
        <w:overflowPunct w:val="false"/>
        <w:spacing w:lineRule="auto" w:line="276" w:before="0" w:after="0"/>
        <w:ind w:left="454" w:hanging="284"/>
        <w:jc w:val="both"/>
        <w:rPr>
          <w:color w:val="221F1F"/>
          <w:w w:val="105"/>
          <w:sz w:val="17"/>
          <w:szCs w:val="17"/>
        </w:rPr>
      </w:pPr>
      <w:r>
        <w:rPr>
          <w:rFonts w:cs="Century Gothic"/>
          <w:color w:val="221F1F"/>
          <w:w w:val="105"/>
          <w:sz w:val="17"/>
          <w:szCs w:val="17"/>
        </w:rPr>
        <w:t xml:space="preserve">Na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 xml:space="preserve">podstawowym </w:t>
      </w:r>
      <w:r>
        <w:rPr>
          <w:color w:val="221F1F"/>
          <w:w w:val="105"/>
          <w:sz w:val="17"/>
          <w:szCs w:val="17"/>
        </w:rPr>
        <w:t xml:space="preserve">poziomie wymagań uczeń powinien wykonać zadania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>obowiązkowe</w:t>
      </w:r>
      <w:r>
        <w:rPr>
          <w:rFonts w:cs="Bookman Old Style"/>
          <w:b/>
          <w:bCs/>
          <w:color w:val="221F1F"/>
          <w:spacing w:val="-47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 xml:space="preserve">(na stopień dopuszczający </w:t>
      </w:r>
      <w:r>
        <w:rPr>
          <w:color w:val="221F1F"/>
          <w:w w:val="125"/>
          <w:sz w:val="17"/>
          <w:szCs w:val="17"/>
        </w:rPr>
        <w:t xml:space="preserve">- </w:t>
      </w:r>
      <w:r>
        <w:rPr>
          <w:color w:val="221F1F"/>
          <w:w w:val="105"/>
          <w:sz w:val="17"/>
          <w:szCs w:val="17"/>
        </w:rPr>
        <w:t xml:space="preserve">łatwe; na stopień dostateczny </w:t>
      </w:r>
      <w:r>
        <w:rPr>
          <w:color w:val="221F1F"/>
          <w:w w:val="125"/>
          <w:sz w:val="17"/>
          <w:szCs w:val="17"/>
        </w:rPr>
        <w:t xml:space="preserve">- </w:t>
      </w:r>
      <w:r>
        <w:rPr>
          <w:color w:val="221F1F"/>
          <w:w w:val="105"/>
          <w:sz w:val="17"/>
          <w:szCs w:val="17"/>
        </w:rPr>
        <w:t xml:space="preserve">umiarkowanie trudne); niektóre czynności ucznia mogą być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>wspomagane</w:t>
      </w:r>
      <w:r>
        <w:rPr>
          <w:rFonts w:cs="Bookman Old Style"/>
          <w:b/>
          <w:bCs/>
          <w:color w:val="221F1F"/>
          <w:spacing w:val="-4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 xml:space="preserve">przez nauczyciela (np. wykonywanie doświadczeń, rozwiązywanie </w:t>
      </w:r>
      <w:r>
        <w:rPr>
          <w:color w:val="221F1F"/>
          <w:spacing w:val="-3"/>
          <w:w w:val="105"/>
          <w:sz w:val="17"/>
          <w:szCs w:val="17"/>
        </w:rPr>
        <w:t xml:space="preserve">problemów, </w:t>
      </w:r>
      <w:r>
        <w:rPr>
          <w:color w:val="221F1F"/>
          <w:w w:val="105"/>
          <w:sz w:val="17"/>
          <w:szCs w:val="17"/>
        </w:rPr>
        <w:t>przy czym na stopień do- stateczny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uczeń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wykonuje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je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pod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kierunkiem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nauczyciela,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stopień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dopuszczający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25"/>
          <w:sz w:val="17"/>
          <w:szCs w:val="17"/>
        </w:rPr>
        <w:t>-</w:t>
      </w:r>
      <w:r>
        <w:rPr>
          <w:color w:val="221F1F"/>
          <w:spacing w:val="-12"/>
          <w:w w:val="12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przy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pomocy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nauczyciela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lub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innych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uczniów).</w:t>
      </w:r>
    </w:p>
    <w:p>
      <w:pPr>
        <w:pStyle w:val="ListParagraph"/>
        <w:numPr>
          <w:ilvl w:val="0"/>
          <w:numId w:val="43"/>
        </w:numPr>
        <w:overflowPunct w:val="false"/>
        <w:spacing w:lineRule="auto" w:line="276" w:before="0" w:after="0"/>
        <w:ind w:left="454" w:hanging="284"/>
        <w:jc w:val="both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Czynności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wymagane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poziomach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wymagań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>wyższych</w:t>
      </w:r>
      <w:r>
        <w:rPr>
          <w:rFonts w:cs="Bookman Old Style"/>
          <w:b/>
          <w:bCs/>
          <w:color w:val="221F1F"/>
          <w:spacing w:val="-2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niż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poziom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podstawowy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uczeń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powinien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wykonać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>samodzielnie</w:t>
      </w:r>
      <w:r>
        <w:rPr>
          <w:rFonts w:cs="Bookman Old Style"/>
          <w:b/>
          <w:bCs/>
          <w:color w:val="221F1F"/>
          <w:spacing w:val="-2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(na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stopień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dobry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niekiedy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może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jeszcze korzystać z niewielkiego wsparcia</w:t>
      </w:r>
      <w:r>
        <w:rPr>
          <w:color w:val="221F1F"/>
          <w:spacing w:val="-1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nauczyciela).</w:t>
      </w:r>
    </w:p>
    <w:p>
      <w:pPr>
        <w:pStyle w:val="ListParagraph"/>
        <w:numPr>
          <w:ilvl w:val="0"/>
          <w:numId w:val="43"/>
        </w:numPr>
        <w:overflowPunct w:val="false"/>
        <w:spacing w:lineRule="auto" w:line="276" w:before="0" w:after="0"/>
        <w:ind w:left="454" w:hanging="284"/>
        <w:jc w:val="both"/>
        <w:rPr>
          <w:color w:val="221F1F"/>
          <w:w w:val="110"/>
          <w:sz w:val="17"/>
          <w:szCs w:val="17"/>
        </w:rPr>
      </w:pPr>
      <w:r>
        <w:rPr>
          <w:color w:val="221F1F"/>
          <w:w w:val="110"/>
          <w:sz w:val="17"/>
          <w:szCs w:val="17"/>
        </w:rPr>
        <w:t>W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wypadku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wymagań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na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stopnie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rFonts w:cs="Bookman Old Style"/>
          <w:b/>
          <w:bCs/>
          <w:color w:val="221F1F"/>
          <w:w w:val="110"/>
          <w:sz w:val="17"/>
          <w:szCs w:val="17"/>
        </w:rPr>
        <w:t>wyższe</w:t>
      </w:r>
      <w:r>
        <w:rPr>
          <w:rFonts w:cs="Bookman Old Style"/>
          <w:b/>
          <w:bCs/>
          <w:color w:val="221F1F"/>
          <w:spacing w:val="-47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niż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dostateczny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uczeń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wykonuje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zadania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rFonts w:cs="Bookman Old Style"/>
          <w:b/>
          <w:bCs/>
          <w:color w:val="221F1F"/>
          <w:w w:val="110"/>
          <w:sz w:val="17"/>
          <w:szCs w:val="17"/>
        </w:rPr>
        <w:t>dodatkowe</w:t>
      </w:r>
      <w:r>
        <w:rPr>
          <w:rFonts w:cs="Bookman Old Style"/>
          <w:b/>
          <w:bCs/>
          <w:color w:val="221F1F"/>
          <w:spacing w:val="-47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(na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stopień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dobry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25"/>
          <w:sz w:val="17"/>
          <w:szCs w:val="17"/>
        </w:rPr>
        <w:t>-</w:t>
      </w:r>
      <w:r>
        <w:rPr>
          <w:color w:val="221F1F"/>
          <w:spacing w:val="-37"/>
          <w:w w:val="125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umiarkowanie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trudne;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na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stopień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bardzo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dobry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25"/>
          <w:sz w:val="17"/>
          <w:szCs w:val="17"/>
        </w:rPr>
        <w:t xml:space="preserve">- </w:t>
      </w:r>
      <w:r>
        <w:rPr>
          <w:color w:val="221F1F"/>
          <w:w w:val="110"/>
          <w:sz w:val="17"/>
          <w:szCs w:val="17"/>
        </w:rPr>
        <w:t>trudne).</w:t>
      </w:r>
    </w:p>
    <w:p>
      <w:pPr>
        <w:pStyle w:val="ListParagraph"/>
        <w:numPr>
          <w:ilvl w:val="0"/>
          <w:numId w:val="43"/>
        </w:numPr>
        <w:overflowPunct w:val="false"/>
        <w:spacing w:lineRule="auto" w:line="276" w:before="0" w:after="0"/>
        <w:ind w:left="454" w:hanging="284"/>
        <w:jc w:val="both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 xml:space="preserve">Wymagania umożliwiające uzyskanie stopnia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 xml:space="preserve">celującego </w:t>
      </w:r>
      <w:r>
        <w:rPr>
          <w:color w:val="221F1F"/>
          <w:w w:val="105"/>
          <w:sz w:val="17"/>
          <w:szCs w:val="17"/>
        </w:rPr>
        <w:t xml:space="preserve">obejmują wymagania na stopień bardzo </w:t>
      </w:r>
      <w:r>
        <w:rPr>
          <w:color w:val="221F1F"/>
          <w:spacing w:val="-4"/>
          <w:w w:val="105"/>
          <w:sz w:val="17"/>
          <w:szCs w:val="17"/>
        </w:rPr>
        <w:t>dobry, a </w:t>
      </w:r>
      <w:r>
        <w:rPr>
          <w:color w:val="221F1F"/>
          <w:w w:val="105"/>
          <w:sz w:val="17"/>
          <w:szCs w:val="17"/>
        </w:rPr>
        <w:t xml:space="preserve">ponadto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 xml:space="preserve">wykraczające </w:t>
      </w:r>
      <w:r>
        <w:rPr>
          <w:color w:val="221F1F"/>
          <w:w w:val="105"/>
          <w:sz w:val="17"/>
          <w:szCs w:val="17"/>
        </w:rPr>
        <w:t xml:space="preserve">poza obowiązujący program na- uczania (uczeń jest </w:t>
      </w:r>
      <w:r>
        <w:rPr>
          <w:color w:val="221F1F"/>
          <w:spacing w:val="-3"/>
          <w:w w:val="105"/>
          <w:sz w:val="17"/>
          <w:szCs w:val="17"/>
        </w:rPr>
        <w:t xml:space="preserve">twórczy, </w:t>
      </w:r>
      <w:r>
        <w:rPr>
          <w:color w:val="221F1F"/>
          <w:w w:val="105"/>
          <w:sz w:val="17"/>
          <w:szCs w:val="17"/>
        </w:rPr>
        <w:t xml:space="preserve">rozwiązuje zadania problemowe w sposób niekonwencjonalny; potrafi dokonać syntezy </w:t>
      </w:r>
      <w:r>
        <w:rPr>
          <w:color w:val="221F1F"/>
          <w:spacing w:val="-4"/>
          <w:w w:val="105"/>
          <w:sz w:val="17"/>
          <w:szCs w:val="17"/>
        </w:rPr>
        <w:t>wiedzy, a </w:t>
      </w:r>
      <w:r>
        <w:rPr>
          <w:color w:val="221F1F"/>
          <w:w w:val="105"/>
          <w:sz w:val="17"/>
          <w:szCs w:val="17"/>
        </w:rPr>
        <w:t>na tej podstawie sformułować hipotezy badawcze i zaproponować sposób ich weryfikacji; samodzielnie prowadzi badania o charakterze naukowym; z własnej inicjatywy pogłębia wiedzę, korzystając z </w:t>
      </w:r>
      <w:r>
        <w:rPr>
          <w:color w:val="221F1F"/>
          <w:spacing w:val="-3"/>
          <w:w w:val="105"/>
          <w:sz w:val="17"/>
          <w:szCs w:val="17"/>
        </w:rPr>
        <w:t xml:space="preserve">róż- </w:t>
      </w:r>
      <w:r>
        <w:rPr>
          <w:color w:val="221F1F"/>
          <w:w w:val="105"/>
          <w:sz w:val="17"/>
          <w:szCs w:val="17"/>
        </w:rPr>
        <w:t>nych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źródeł;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poszukuje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zastosowań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wiedzy</w:t>
      </w:r>
      <w:r>
        <w:rPr>
          <w:color w:val="221F1F"/>
          <w:spacing w:val="-10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praktyce;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dzieli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wiedzą</w:t>
      </w:r>
      <w:r>
        <w:rPr>
          <w:color w:val="221F1F"/>
          <w:spacing w:val="-10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innymi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uczniami;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osiąga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sukcesy</w:t>
      </w:r>
      <w:r>
        <w:rPr>
          <w:color w:val="221F1F"/>
          <w:spacing w:val="-10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konkursach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pozaszkolnych</w:t>
      </w:r>
      <w:r>
        <w:rPr>
          <w:color w:val="221F1F"/>
          <w:spacing w:val="-10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dziedziny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lub</w:t>
      </w:r>
      <w:r>
        <w:rPr>
          <w:color w:val="221F1F"/>
          <w:spacing w:val="-10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olim- piadzie</w:t>
      </w:r>
      <w:r>
        <w:rPr>
          <w:color w:val="221F1F"/>
          <w:spacing w:val="-1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fizycznej).</w:t>
      </w:r>
    </w:p>
    <w:p>
      <w:pPr>
        <w:pStyle w:val="Nagwek1"/>
        <w:overflowPunct w:val="false"/>
        <w:spacing w:lineRule="auto" w:line="360" w:before="120" w:after="0"/>
        <w:ind w:left="454" w:hanging="0"/>
        <w:rPr>
          <w:rFonts w:ascii="Arial" w:hAnsi="Arial" w:cs="Arial"/>
          <w:b/>
          <w:b/>
          <w:color w:val="221F1F"/>
          <w:w w:val="105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35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8425" cy="98425"/>
                <wp:effectExtent l="0" t="0" r="0" b="0"/>
                <wp:wrapNone/>
                <wp:docPr id="2" name="Freeform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20" cy="979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Arial" w:ascii="Arial" w:hAnsi="Arial"/>
          <w:b/>
          <w:color w:val="221F1F"/>
          <w:w w:val="105"/>
        </w:rPr>
        <w:t>Wymagania ogólne – uczeń: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426" w:leader="none"/>
          <w:tab w:val="left" w:pos="709" w:leader="none"/>
        </w:tabs>
        <w:overflowPunct w:val="false"/>
        <w:spacing w:lineRule="auto" w:line="276" w:before="0" w:after="0"/>
        <w:ind w:left="454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wykorzystuje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pojęcia</w:t>
      </w:r>
      <w:r>
        <w:rPr>
          <w:color w:val="221F1F"/>
          <w:spacing w:val="-8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wielkości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fizyczne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opisu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zjawisk</w:t>
      </w:r>
      <w:r>
        <w:rPr>
          <w:color w:val="221F1F"/>
          <w:spacing w:val="-8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wskazuje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ich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przykłady</w:t>
      </w:r>
      <w:r>
        <w:rPr>
          <w:color w:val="221F1F"/>
          <w:spacing w:val="-8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otoczeniu,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426" w:leader="none"/>
          <w:tab w:val="left" w:pos="709" w:leader="none"/>
        </w:tabs>
        <w:overflowPunct w:val="false"/>
        <w:spacing w:lineRule="auto" w:line="276" w:before="0" w:after="0"/>
        <w:ind w:left="454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rozwiązuje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spacing w:val="-3"/>
          <w:w w:val="105"/>
          <w:sz w:val="17"/>
          <w:szCs w:val="17"/>
        </w:rPr>
        <w:t>problemy,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wykorzystując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prawa</w:t>
      </w:r>
      <w:r>
        <w:rPr>
          <w:color w:val="221F1F"/>
          <w:spacing w:val="-9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zależności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fizyczne,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426" w:leader="none"/>
          <w:tab w:val="left" w:pos="709" w:leader="none"/>
        </w:tabs>
        <w:overflowPunct w:val="false"/>
        <w:spacing w:lineRule="auto" w:line="276" w:before="0" w:after="0"/>
        <w:ind w:left="454" w:hanging="284"/>
        <w:rPr>
          <w:color w:val="221F1F"/>
          <w:spacing w:val="-3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planuje</w:t>
      </w:r>
      <w:r>
        <w:rPr>
          <w:color w:val="221F1F"/>
          <w:spacing w:val="-10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przeprowadza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obserwacje</w:t>
      </w:r>
      <w:r>
        <w:rPr>
          <w:color w:val="221F1F"/>
          <w:spacing w:val="-10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doświadczenia,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wnioskuje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podstawie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ich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spacing w:val="-3"/>
          <w:w w:val="105"/>
          <w:sz w:val="17"/>
          <w:szCs w:val="17"/>
        </w:rPr>
        <w:t>wyników,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426" w:leader="none"/>
          <w:tab w:val="left" w:pos="709" w:leader="none"/>
        </w:tabs>
        <w:overflowPunct w:val="false"/>
        <w:spacing w:lineRule="auto" w:line="276" w:before="0" w:after="0"/>
        <w:ind w:left="454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posługuje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informacjami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pochodzącymi</w:t>
      </w:r>
      <w:r>
        <w:rPr>
          <w:color w:val="221F1F"/>
          <w:spacing w:val="-9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analizy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materiałów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źródłowych,</w:t>
      </w:r>
      <w:r>
        <w:rPr>
          <w:color w:val="221F1F"/>
          <w:spacing w:val="-9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tym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tekstów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 xml:space="preserve">popularnonaukowych. </w:t>
      </w:r>
    </w:p>
    <w:p>
      <w:pPr>
        <w:pStyle w:val="ListParagraph"/>
        <w:tabs>
          <w:tab w:val="clear" w:pos="720"/>
          <w:tab w:val="left" w:pos="709" w:leader="none"/>
        </w:tabs>
        <w:overflowPunct w:val="false"/>
        <w:spacing w:lineRule="auto" w:line="276" w:before="0" w:after="0"/>
        <w:ind w:left="454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Ponadto:</w:t>
      </w:r>
    </w:p>
    <w:p>
      <w:pPr>
        <w:pStyle w:val="ListParagraph"/>
        <w:numPr>
          <w:ilvl w:val="1"/>
          <w:numId w:val="42"/>
        </w:numPr>
        <w:tabs>
          <w:tab w:val="clear" w:pos="720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sprawnie się komunikuje i stosuje terminologię właściwą dla</w:t>
      </w:r>
      <w:r>
        <w:rPr>
          <w:color w:val="221F1F"/>
          <w:spacing w:val="-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fizyki,</w:t>
      </w:r>
    </w:p>
    <w:p>
      <w:pPr>
        <w:pStyle w:val="ListParagraph"/>
        <w:numPr>
          <w:ilvl w:val="1"/>
          <w:numId w:val="42"/>
        </w:numPr>
        <w:tabs>
          <w:tab w:val="clear" w:pos="720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kreatywnie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rozwiązuje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problemy</w:t>
      </w:r>
      <w:r>
        <w:rPr>
          <w:color w:val="221F1F"/>
          <w:spacing w:val="-9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dziedziny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fizyki,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rFonts w:cs="Bookman Old Style" w:ascii="Bookman Old Style" w:hAnsi="Bookman Old Style"/>
          <w:b/>
          <w:bCs/>
          <w:color w:val="221F1F"/>
          <w:w w:val="105"/>
          <w:sz w:val="17"/>
          <w:szCs w:val="17"/>
        </w:rPr>
        <w:t>świadomie</w:t>
      </w:r>
      <w:r>
        <w:rPr>
          <w:rFonts w:cs="Bookman Old Style" w:ascii="Bookman Old Style" w:hAnsi="Bookman Old Style"/>
          <w:b/>
          <w:bCs/>
          <w:color w:val="221F1F"/>
          <w:spacing w:val="-2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wykorzystując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metody</w:t>
      </w:r>
      <w:r>
        <w:rPr>
          <w:color w:val="221F1F"/>
          <w:spacing w:val="-9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narzędzia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wywodzące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9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informatyki,</w:t>
      </w:r>
    </w:p>
    <w:p>
      <w:pPr>
        <w:pStyle w:val="ListParagraph"/>
        <w:numPr>
          <w:ilvl w:val="1"/>
          <w:numId w:val="42"/>
        </w:numPr>
        <w:tabs>
          <w:tab w:val="clear" w:pos="720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posługuje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nowoczesnymi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technologiami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informacyjno-komunikacyjnymi,</w:t>
      </w:r>
    </w:p>
    <w:p>
      <w:pPr>
        <w:pStyle w:val="ListParagraph"/>
        <w:numPr>
          <w:ilvl w:val="1"/>
          <w:numId w:val="42"/>
        </w:numPr>
        <w:tabs>
          <w:tab w:val="clear" w:pos="720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samodzielnie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dociera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informacji,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dokonuje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ich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selekcji,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syntezy</w:t>
      </w:r>
      <w:r>
        <w:rPr>
          <w:color w:val="221F1F"/>
          <w:spacing w:val="2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wartościowania;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rzetelnie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korzysta</w:t>
      </w:r>
      <w:r>
        <w:rPr>
          <w:color w:val="221F1F"/>
          <w:spacing w:val="2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różnych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źródeł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informacji,</w:t>
      </w:r>
      <w:r>
        <w:rPr>
          <w:color w:val="221F1F"/>
          <w:spacing w:val="2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tym</w:t>
      </w:r>
      <w:r>
        <w:rPr>
          <w:color w:val="221F1F"/>
          <w:spacing w:val="2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internetu,</w:t>
      </w:r>
    </w:p>
    <w:p>
      <w:pPr>
        <w:pStyle w:val="ListParagraph"/>
        <w:numPr>
          <w:ilvl w:val="1"/>
          <w:numId w:val="42"/>
        </w:numPr>
        <w:tabs>
          <w:tab w:val="clear" w:pos="720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uczy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systematycznie,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buduje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prawidłowe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związki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przyczynowo-skutkowe,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porządkuje</w:t>
      </w:r>
      <w:r>
        <w:rPr>
          <w:color w:val="221F1F"/>
          <w:spacing w:val="-15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pogłębia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zdobytą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wiedzę,</w:t>
      </w:r>
    </w:p>
    <w:p>
      <w:pPr>
        <w:pStyle w:val="ListParagraph"/>
        <w:numPr>
          <w:ilvl w:val="1"/>
          <w:numId w:val="42"/>
        </w:numPr>
        <w:tabs>
          <w:tab w:val="clear" w:pos="720"/>
          <w:tab w:val="left" w:pos="567" w:leader="none"/>
          <w:tab w:val="left" w:pos="709" w:leader="none"/>
        </w:tabs>
        <w:overflowPunct w:val="false"/>
        <w:spacing w:lineRule="auto" w:line="276" w:before="0" w:after="120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współpracuje</w:t>
      </w:r>
      <w:r>
        <w:rPr>
          <w:color w:val="221F1F"/>
          <w:spacing w:val="-4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grupie</w:t>
      </w:r>
      <w:r>
        <w:rPr>
          <w:color w:val="221F1F"/>
          <w:spacing w:val="-4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realizuje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projekty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edukacyjne</w:t>
      </w:r>
      <w:r>
        <w:rPr>
          <w:color w:val="221F1F"/>
          <w:spacing w:val="-4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dziedziny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lub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astronomii.</w:t>
      </w:r>
    </w:p>
    <w:p>
      <w:pPr>
        <w:pStyle w:val="Tretekstu"/>
        <w:overflowPunct w:val="false"/>
        <w:spacing w:lineRule="auto" w:line="360" w:before="120" w:after="0"/>
        <w:rPr>
          <w:rFonts w:ascii="Arial" w:hAnsi="Arial" w:cs="Arial"/>
          <w:b/>
          <w:b/>
          <w:color w:val="221F1F"/>
          <w:w w:val="110"/>
          <w:sz w:val="27"/>
          <w:szCs w:val="27"/>
        </w:rPr>
      </w:pPr>
      <w:r>
        <w:rPr>
          <w:rFonts w:cs="Arial" w:ascii="Arial" w:hAnsi="Arial"/>
          <w:b/>
          <w:color w:val="221F1F"/>
          <w:w w:val="110"/>
          <w:sz w:val="27"/>
          <w:szCs w:val="27"/>
        </w:rPr>
        <w:t>Szczegółowe wymagania na poszczególne stopnie</w:t>
      </w:r>
    </w:p>
    <w:p>
      <w:pPr>
        <w:pStyle w:val="Tretekstu"/>
        <w:overflowPunct w:val="false"/>
        <w:spacing w:lineRule="auto" w:line="276"/>
        <w:rPr>
          <w:color w:val="221F1F"/>
          <w:w w:val="110"/>
        </w:rPr>
      </w:pPr>
      <w:r>
        <w:rPr>
          <w:color w:val="221F1F"/>
          <w:w w:val="110"/>
        </w:rPr>
        <w:t xml:space="preserve">(wymagania na kolejne stopnie się </w:t>
      </w:r>
      <w:r>
        <w:rPr>
          <w:rFonts w:cs="Bookman Old Style" w:ascii="Bookman Old Style" w:hAnsi="Bookman Old Style"/>
          <w:b/>
          <w:bCs/>
          <w:color w:val="221F1F"/>
          <w:w w:val="110"/>
        </w:rPr>
        <w:t xml:space="preserve">kumulują </w:t>
      </w:r>
      <w:r>
        <w:rPr>
          <w:color w:val="221F1F"/>
          <w:w w:val="125"/>
        </w:rPr>
        <w:t xml:space="preserve">- </w:t>
      </w:r>
      <w:r>
        <w:rPr>
          <w:color w:val="221F1F"/>
          <w:w w:val="110"/>
        </w:rPr>
        <w:t>obejmują również wymagania na stopnie niższe)</w:t>
      </w:r>
    </w:p>
    <w:p>
      <w:pPr>
        <w:pStyle w:val="Tretekstu"/>
        <w:overflowPunct w:val="false"/>
        <w:spacing w:lineRule="auto" w:line="276"/>
        <w:rPr>
          <w:color w:val="221F1F"/>
          <w:w w:val="105"/>
        </w:rPr>
      </w:pPr>
      <w:r>
        <w:rPr>
          <w:color w:val="221F1F"/>
          <w:w w:val="105"/>
        </w:rPr>
        <w:t xml:space="preserve">Symbolem </w:t>
      </w:r>
      <w:r>
        <w:rPr>
          <w:rFonts w:cs="Century Gothic" w:ascii="Century Gothic" w:hAnsi="Century Gothic"/>
          <w:color w:val="221F1F"/>
          <w:w w:val="105"/>
          <w:position w:val="2"/>
          <w:sz w:val="12"/>
          <w:szCs w:val="12"/>
        </w:rPr>
        <w:t xml:space="preserve">R </w:t>
      </w:r>
      <w:r>
        <w:rPr>
          <w:color w:val="221F1F"/>
          <w:w w:val="105"/>
        </w:rPr>
        <w:t>oznaczono treści spoza podstawy programowej; doświadczenia obowiązkowe zapisano pogrubioną czcionką</w:t>
      </w:r>
    </w:p>
    <w:p>
      <w:pPr>
        <w:sectPr>
          <w:headerReference w:type="default" r:id="rId2"/>
          <w:footerReference w:type="default" r:id="rId3"/>
          <w:type w:val="nextPage"/>
          <w:pgSz w:orient="landscape" w:w="16838" w:h="11906"/>
          <w:pgMar w:left="1418" w:right="1418" w:gutter="0" w:header="709" w:top="1134" w:footer="709" w:bottom="1701"/>
          <w:pgNumType w:fmt="decimal"/>
          <w:formProt w:val="false"/>
          <w:textDirection w:val="lrTb"/>
          <w:docGrid w:type="default" w:linePitch="100" w:charSpace="0"/>
        </w:sectPr>
      </w:pPr>
    </w:p>
    <w:tbl>
      <w:tblPr>
        <w:tblW w:w="5000" w:type="pct"/>
        <w:jc w:val="left"/>
        <w:tblInd w:w="0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  <w:tblLook w:firstRow="1" w:noVBand="0" w:lastRow="0" w:firstColumn="0" w:lastColumn="0" w:noHBand="0" w:val="0020"/>
      </w:tblPr>
      <w:tblGrid>
        <w:gridCol w:w="3528"/>
        <w:gridCol w:w="3876"/>
        <w:gridCol w:w="3413"/>
        <w:gridCol w:w="3184"/>
      </w:tblGrid>
      <w:tr>
        <w:trPr>
          <w:tblHeader w:val="true"/>
          <w:trHeight w:val="20" w:hRule="atLeast"/>
        </w:trPr>
        <w:tc>
          <w:tcPr>
            <w:tcW w:w="14001" w:type="dxa"/>
            <w:gridSpan w:val="4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6126" w:right="6126" w:hanging="0"/>
              <w:jc w:val="center"/>
              <w:rPr>
                <w:rFonts w:ascii="Arial" w:hAnsi="Arial" w:cs="Arial"/>
                <w:b/>
                <w:b/>
                <w:color w:val="221F1F"/>
                <w:w w:val="110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0"/>
                <w:sz w:val="15"/>
                <w:szCs w:val="15"/>
              </w:rPr>
              <w:t>Ocena</w:t>
            </w:r>
          </w:p>
        </w:tc>
      </w:tr>
      <w:tr>
        <w:trPr>
          <w:tblHeader w:val="true"/>
          <w:trHeight w:val="20" w:hRule="atLeast"/>
        </w:trPr>
        <w:tc>
          <w:tcPr>
            <w:tcW w:w="3528" w:type="dxa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822" w:hanging="0"/>
              <w:rPr>
                <w:rFonts w:ascii="Arial" w:hAnsi="Arial" w:cs="Arial"/>
                <w:b/>
                <w:b/>
                <w:color w:val="221F1F"/>
                <w:w w:val="110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0"/>
                <w:sz w:val="15"/>
                <w:szCs w:val="15"/>
              </w:rPr>
              <w:t>Stopień dopuszczający</w:t>
            </w:r>
          </w:p>
        </w:tc>
        <w:tc>
          <w:tcPr>
            <w:tcW w:w="3876" w:type="dxa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1088" w:hanging="0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Stopień dostateczny</w:t>
            </w:r>
          </w:p>
        </w:tc>
        <w:tc>
          <w:tcPr>
            <w:tcW w:w="3413" w:type="dxa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449" w:right="449" w:hanging="0"/>
              <w:jc w:val="center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Stopień dobry</w:t>
            </w:r>
          </w:p>
        </w:tc>
        <w:tc>
          <w:tcPr>
            <w:tcW w:w="3184" w:type="dxa"/>
            <w:tcBorders>
              <w:top w:val="single" w:sz="4" w:space="0" w:color="93C73C"/>
              <w:left w:val="single" w:sz="4" w:space="0" w:color="93C73C"/>
              <w:bottom w:val="single" w:sz="4" w:space="0" w:color="A7A9AB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715" w:hanging="0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Stopień bardzo dobry</w:t>
            </w:r>
          </w:p>
        </w:tc>
      </w:tr>
      <w:tr>
        <w:trPr>
          <w:trHeight w:val="20" w:hRule="atLeast"/>
        </w:trPr>
        <w:tc>
          <w:tcPr>
            <w:tcW w:w="14001" w:type="dxa"/>
            <w:gridSpan w:val="4"/>
            <w:tcBorders>
              <w:top w:val="single" w:sz="8" w:space="0" w:color="93C742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  <w:vAlign w:val="cente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0" w:hanging="0"/>
              <w:jc w:val="center"/>
              <w:rPr>
                <w:rFonts w:ascii="Arial" w:hAnsi="Arial" w:cs="Arial"/>
                <w:b/>
                <w:b/>
                <w:color w:val="221F1F"/>
                <w:w w:val="110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0"/>
                <w:sz w:val="15"/>
                <w:szCs w:val="15"/>
              </w:rPr>
              <w:t>Wprowadzenie</w:t>
            </w:r>
          </w:p>
        </w:tc>
      </w:tr>
      <w:tr>
        <w:trPr>
          <w:trHeight w:val="20" w:hRule="atLeast"/>
        </w:trPr>
        <w:tc>
          <w:tcPr>
            <w:tcW w:w="352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jakie obiekty stanowią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przedmiot zainteresowania fizyki i astronomii; wskazuje ich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</w:p>
          <w:p>
            <w:pPr>
              <w:pStyle w:val="Table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przelicza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wielokrotności i podwielokrotności, korzystając z tabeli przedrostków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jednostek</w:t>
            </w:r>
          </w:p>
          <w:p>
            <w:pPr>
              <w:pStyle w:val="Table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podstawowe sposoby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badania otaczającego świata w fizyce i innych naukach przyrodniczych; wyjaśnia na przykładach różnicę między obserwacją a doświadczeniem</w:t>
            </w:r>
          </w:p>
          <w:p>
            <w:pPr>
              <w:pStyle w:val="Table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wymienia, posługując się wybranym przykładem, podstawowe etapy doświadczenia; wyróżnia kluczowe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kroki i sposób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postępowania</w:t>
            </w:r>
          </w:p>
          <w:p>
            <w:pPr>
              <w:pStyle w:val="Table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niepewności pomiaru wielkości prostych; zapisuje wynik pomiaru wraz z jego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jednostką, z uwzględnieniem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informacji o niepewności</w:t>
            </w:r>
          </w:p>
          <w:p>
            <w:pPr>
              <w:pStyle w:val="TableParagraph"/>
              <w:widowControl w:val="false"/>
              <w:numPr>
                <w:ilvl w:val="0"/>
                <w:numId w:val="41"/>
              </w:numPr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proste zadania związane z opracowaniem wyników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pomiarów; </w:t>
            </w:r>
            <w:r>
              <w:rPr>
                <w:color w:val="221F1F"/>
                <w:w w:val="105"/>
                <w:sz w:val="14"/>
                <w:szCs w:val="14"/>
              </w:rPr>
              <w:t>wykonuje obliczenia i zapisuje wynik zgodnie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zasadami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zaokrąglania, z zachowaniem liczby cyfr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znaczących wynikającej z dokładności pomiaru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 danych</w:t>
            </w:r>
          </w:p>
          <w:p>
            <w:pPr>
              <w:pStyle w:val="Table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tekst popularnonaukowy dotyczący zastosowań fizyki w wielu dziedzinach nauki i życia (pod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kierunkiem nauczyciela); wyodrębnia z tekstu informacje kluczowe i przedstawia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 w różnych postaciach</w:t>
            </w:r>
          </w:p>
        </w:tc>
        <w:tc>
          <w:tcPr>
            <w:tcW w:w="38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porównuje rozmiary i odległości we Wszechświecie, korzystając z infografiki zamieszczonej w podręczniku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budowę Układu Słonecznego i jego miejsce w Galaktyce; opisuje inne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galaktyki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budowę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materii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 o rozmiarach i odległościach we Wszechświecie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rozwiązywania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zadań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wymienia podstawowe wielkości fizyczne i ich jednostki w układzie SI, wskazuje przyrządy służące do ich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pomiaru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(na przykładzie) podstawowe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metody opracowywania wyników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pomiarów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wykonuje wybrane pomiary wielokrotne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(np. długości ołówka) i wyznacza średnią jako końcowy wynik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pomiaru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zadania związane z opracowaniem wyników pomiarów; wykonuje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obliczenia</w:t>
            </w:r>
          </w:p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 zapisuje wynik zgodnie z zasadami zaokrąglania, z zachowaniem liczby cyfr znaczących wynikającej z dokładności pomiaru lub danych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własnymi słowami główne tezy tekstu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(zamieszczonego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podręczniku)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 xml:space="preserve">Fizyka – komu się przydaje </w:t>
            </w:r>
            <w:r>
              <w:rPr>
                <w:color w:val="221F1F"/>
                <w:w w:val="105"/>
                <w:sz w:val="15"/>
                <w:szCs w:val="15"/>
              </w:rPr>
              <w:t>lub innego o podobnej tematyce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 pochodzące z analizy tekstu popularnonaukowego do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rozwiązywania zadań</w:t>
            </w:r>
          </w:p>
        </w:tc>
        <w:tc>
          <w:tcPr>
            <w:tcW w:w="341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podaje rząd wielkości rozmiarów wybranych obiektów i odległości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 Wszechświecie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 o rozmiarach i odległościach we Wszechświecie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rozwiązywania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problemów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pochodzące z analizy tekstu popularnonaukowego do rozwiązywania problemów</w:t>
            </w:r>
          </w:p>
        </w:tc>
        <w:tc>
          <w:tcPr>
            <w:tcW w:w="318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samodzielnie wyszukuje (np. w internecie) i analizuje tekst popularnonaukowy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 powiązań fizyki z innymi dziedzinami nauki; przedstawia wyniki analizy; posługuje się informacjami pochodzącymi z analizy tego tekstu</w:t>
            </w:r>
          </w:p>
        </w:tc>
      </w:tr>
      <w:tr>
        <w:trPr>
          <w:trHeight w:val="20" w:hRule="atLeast"/>
        </w:trPr>
        <w:tc>
          <w:tcPr>
            <w:tcW w:w="14001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5148" w:hanging="0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1. Przyczyny i opis ruchu prostoliniowego</w:t>
            </w:r>
          </w:p>
        </w:tc>
      </w:tr>
      <w:tr>
        <w:trPr>
          <w:trHeight w:val="20" w:hRule="atLeast"/>
        </w:trPr>
        <w:tc>
          <w:tcPr>
            <w:tcW w:w="352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 w:before="0" w:after="12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wielkości wektorowe i wielkości skalarne; wskazuje ich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8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siły wraz z jej jednostką; określa cechy wektora siły; wskazuje przyrząd służący do pomiaru siły; przedstawia siłę za pomocą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wektora</w:t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8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 ilustruje trzecią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zasadę dynamiki, korzystając z opisu doświadczenia</w:t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8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wzajemne oddziaływanie ciał, posługując się trzecią zasadą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8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rozpoznaje i nazywa siły, podaje ich przykłady w różnych sytuacjach praktycznych (siły: ciężkości,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nacisku, sprężystości, wyporu, oporów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ruchu); rozróżnia siłę wypadkową i siłę równoważącą</w:t>
            </w:r>
          </w:p>
          <w:p>
            <w:pPr>
              <w:pStyle w:val="TableParagraph"/>
              <w:widowControl w:val="false"/>
              <w:numPr>
                <w:ilvl w:val="1"/>
                <w:numId w:val="3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8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siły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wypadkowej; wyznacza i rysuje siłę wypadkową dla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 o jednakowych kierunkach; opisuje i rysuje siły, które się równoważą</w:t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8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i wskazuje przykłady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względności ruchu; rozróżnia pojęcia: tor i droga</w:t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8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związek prędkości z drogą i czasem, w jakim ta droga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została przebyta; przelicza jednostki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8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nazywa ruchem jednostajnym prostoliniowym ruch, w którym droga przebyta w jednostkowych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przedziałach czasu jest stała i tor jest linią prostą; wskazuje w otoczeniu przykłady ruchu jednostajnego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</w:t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8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wartość prędkości i drogę z wykresów zależności prędkości i drogi od czasu dla ruchu prostoliniowego odcinkami jednostajnego; sporządza te wykresy na podstawie podanych informacji</w:t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88" w:before="0" w:after="12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zachowanie się ciał na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podstawie pierwszej zasady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sz w:val="14"/>
                <w:szCs w:val="14"/>
              </w:rPr>
              <w:t>nazywa ruchem jednostajnie przyspieszonym</w:t>
            </w:r>
            <w:r>
              <w:rPr>
                <w:color w:val="221F1F"/>
                <w:sz w:val="15"/>
                <w:szCs w:val="15"/>
              </w:rPr>
              <w:t xml:space="preserve"> ruch, w którym wartość prędkości rośnie w jednostkowych przedziałach czasu o taką samą wartość, a ruchem jednostajnie opóźnionym –</w:t>
            </w:r>
            <w:r>
              <w:rPr>
                <w:color w:val="221F1F"/>
                <w:spacing w:val="-28"/>
                <w:sz w:val="15"/>
                <w:szCs w:val="15"/>
              </w:rPr>
              <w:t xml:space="preserve"> </w:t>
            </w:r>
            <w:r>
              <w:rPr>
                <w:color w:val="221F1F"/>
                <w:sz w:val="15"/>
                <w:szCs w:val="15"/>
              </w:rPr>
              <w:t>ruch, w którym wartość prędkości</w:t>
            </w:r>
            <w:r>
              <w:rPr>
                <w:color w:val="221F1F"/>
                <w:spacing w:val="-24"/>
                <w:sz w:val="15"/>
                <w:szCs w:val="15"/>
              </w:rPr>
              <w:t xml:space="preserve"> </w:t>
            </w:r>
            <w:r>
              <w:rPr>
                <w:color w:val="221F1F"/>
                <w:sz w:val="15"/>
                <w:szCs w:val="15"/>
              </w:rPr>
              <w:t>maleje w jednostkowych przedziałach czasu o taką samą wartość</w:t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związek przyspieszenia ze zmianą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prędkości i czasem, w jakim ta zmiana nastąpiła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∆</m:t>
              </m:r>
              <m:r>
                <w:rPr>
                  <w:rFonts w:ascii="Cambria Math" w:hAnsi="Cambria Math"/>
                </w:rPr>
                <m:t xml:space="preserve">v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a</m:t>
              </m:r>
              <m:r>
                <w:rPr>
                  <w:rFonts w:ascii="Cambria Math" w:hAnsi="Cambria Math"/>
                </w:rPr>
                <m:t xml:space="preserve">∙</m:t>
              </m:r>
              <m:r>
                <w:rPr>
                  <w:rFonts w:ascii="Cambria Math" w:hAnsi="Cambria Math"/>
                </w:rPr>
                <m:t xml:space="preserve">∆</m:t>
              </m:r>
              <m:r>
                <w:rPr>
                  <w:rFonts w:ascii="Cambria Math" w:hAnsi="Cambria Math"/>
                </w:rPr>
                <m:t xml:space="preserve">t</m:t>
              </m:r>
            </m:oMath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masy jako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miary bezwładności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stałą siłę jako przyczynę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jednostajnie zmiennego; formułuje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drugą zasadę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związek między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siłą i masą a przyspieszeniem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zachowanie się ciał na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podstawie drugiej zasady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opory ruchu (opory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ośrodka i tarcie); opisuje, jak siła tarcia i opory ośrodka wpływają na ruch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w otoczeniu przykłady szkodliwości i użyteczności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przykłady zjawisk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będących skutkami działania sił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bezwładności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analizuje tekst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 xml:space="preserve">Przyspieszenie pojazdów </w:t>
            </w:r>
            <w:r>
              <w:rPr>
                <w:color w:val="221F1F"/>
                <w:w w:val="105"/>
                <w:sz w:val="15"/>
                <w:szCs w:val="15"/>
              </w:rPr>
              <w:t>lub inny o podobnej tematyce;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wyodrębnia z tekstu informacje kluczowe, posługuje się nimi i przedstawia je w różnych postaciach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doświadczenia:</w:t>
            </w:r>
          </w:p>
          <w:p>
            <w:pPr>
              <w:pStyle w:val="TableParagraph"/>
              <w:widowControl w:val="false"/>
              <w:numPr>
                <w:ilvl w:val="1"/>
                <w:numId w:val="3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jak porusza się ciało, kiedy nie działa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nie żadna siła albo kiedy wszystkie działające nań siły się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równoważą</w:t>
            </w:r>
          </w:p>
          <w:p>
            <w:pPr>
              <w:pStyle w:val="TableParagraph"/>
              <w:widowControl w:val="false"/>
              <w:numPr>
                <w:ilvl w:val="1"/>
                <w:numId w:val="3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 czynniki wpływające na siłę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tarcia; bada, od czego zależy opór powietrza, korzystając z opisu doświadczenia; przedstawia wyniki doświadczenia, formułuje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proste zadania lub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problemy:</w:t>
            </w:r>
          </w:p>
          <w:p>
            <w:pPr>
              <w:pStyle w:val="TableParagraph"/>
              <w:widowControl w:val="false"/>
              <w:numPr>
                <w:ilvl w:val="1"/>
                <w:numId w:val="3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trzeciej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dynamiki</w:t>
            </w:r>
          </w:p>
          <w:p>
            <w:pPr>
              <w:pStyle w:val="TableParagraph"/>
              <w:widowControl w:val="false"/>
              <w:numPr>
                <w:ilvl w:val="1"/>
                <w:numId w:val="3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wyznaczaniem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wypadkowej</w:t>
            </w:r>
          </w:p>
          <w:p>
            <w:pPr>
              <w:pStyle w:val="TableParagraph"/>
              <w:widowControl w:val="false"/>
              <w:numPr>
                <w:ilvl w:val="1"/>
                <w:numId w:val="3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związku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z drogą i czasem, w jakim ta droga została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przebyta</w:t>
            </w:r>
          </w:p>
          <w:p>
            <w:pPr>
              <w:pStyle w:val="TableParagraph"/>
              <w:widowControl w:val="false"/>
              <w:numPr>
                <w:ilvl w:val="1"/>
                <w:numId w:val="3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opisem ruchu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jednostajnego prostoliniowego, wykorzystując pierwszą zasadę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1"/>
                <w:numId w:val="3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jednostajnie zmiennym</w:t>
            </w:r>
          </w:p>
          <w:p>
            <w:pPr>
              <w:pStyle w:val="TableParagraph"/>
              <w:widowControl w:val="false"/>
              <w:numPr>
                <w:ilvl w:val="1"/>
                <w:numId w:val="3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drugiej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dynamiki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 ciał,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uwzględniając opory ruchu i wykorzystując drugą zasadę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siłami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bezwładności,</w:t>
            </w:r>
          </w:p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 xml:space="preserve">w szczególności: wyodrębnia z tekstów i ilustracji informacje kluczowe dla opisywanego zjawiska bądź problemu, przedstawia je w różnych postaciach, przelicza 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>wielokrotności i 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>podwielokrotności, p</w:t>
            </w:r>
            <w:r>
              <w:rPr>
                <w:color w:val="221F1F"/>
                <w:w w:val="105"/>
                <w:sz w:val="15"/>
                <w:szCs w:val="15"/>
              </w:rPr>
              <w:t>rzeprowadza obliczenia i zapisuje wynik zgodnie z zasadami zaokrąglania, z zachowaniem liczby cyfr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znaczących wynikającej z dokładności pomiaru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 z danych</w:t>
            </w:r>
          </w:p>
        </w:tc>
        <w:tc>
          <w:tcPr>
            <w:tcW w:w="38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 w:before="0" w:after="12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doświadczenie ilustrujące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trzecią zasadę dynamiki na schematycznym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rysunku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>wyjaśnia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przykładach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otoczenia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wzajemność oddziaływań; analizuje i opisuje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siły </w:t>
            </w:r>
            <w:r>
              <w:rPr>
                <w:color w:val="221F1F"/>
                <w:w w:val="105"/>
                <w:sz w:val="15"/>
                <w:szCs w:val="15"/>
              </w:rPr>
              <w:t xml:space="preserve">na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przedstawionych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ilustracjach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trzecią zasadę dynamiki do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 zachowania się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graficznie siłę wypadkową dla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 działających w dowolnych kierunkach na płaszczyźnie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pojęcia: położenie, tor i droga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posługuje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się </w:t>
            </w:r>
            <w:r>
              <w:rPr>
                <w:color w:val="221F1F"/>
                <w:w w:val="105"/>
                <w:sz w:val="15"/>
                <w:szCs w:val="15"/>
              </w:rPr>
              <w:t xml:space="preserve">do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opisu ruchów wielkościami wektorowymi: przemieszczenie i prędkość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wraz z ich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jednostkami; przestawia graficznie i opisuje wektory prędkości i przemieszczenia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porównuje wybrane prędkości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występującew przyrodzie na podstawie infografiki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Prędkości w przyrodzie</w:t>
            </w:r>
            <w:r>
              <w:rPr>
                <w:rFonts w:cs="Arial" w:ascii="Arial" w:hAnsi="Arial"/>
                <w:i/>
                <w:iCs/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innych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materiałów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źródłowych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prędkość średnią i prędkość chwilową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nazywa ruchem jednostajnym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prostoliniowym ruch, w którym nie zmieniają się wartość, kierunek i zwrot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prostoliniowy jednostajny, posługując się zależnościami położenia i drogi od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analizuje wykresy zależności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s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  <m:r>
                <w:rPr>
                  <w:rFonts w:ascii="Cambria Math" w:hAnsi="Cambria Math"/>
                </w:rPr>
                <m:t xml:space="preserve">i</m:t>
              </m:r>
              <m:r>
                <w:rPr>
                  <w:rFonts w:ascii="Cambria Math" w:hAnsi="Cambria Math"/>
                </w:rPr>
                <m:t xml:space="preserve">x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  <w:r>
              <w:rPr>
                <w:color w:val="221F1F"/>
                <w:w w:val="105"/>
                <w:sz w:val="15"/>
                <w:szCs w:val="15"/>
              </w:rPr>
              <w:t xml:space="preserve"> dla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jednostajnego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pierwszą zasadę dynamiki do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 zachowania się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analizuje tekst z podręcznika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Zasada bezwładności</w:t>
            </w:r>
            <w:r>
              <w:rPr>
                <w:color w:val="221F1F"/>
                <w:w w:val="105"/>
                <w:sz w:val="15"/>
                <w:szCs w:val="15"/>
              </w:rPr>
              <w:t>; na tej podstawie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przedstawia informacje z historii formułowania zasad dynamiki, zwłaszcza pierwszej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jednostajnie zmienny, posługując się pojęciem przyspieszenia jako wielkości wektorowej, wraz z jego jednostką; określa cechy wektora przyspieszenia, przedstawia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go graficznie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 w:before="0" w:after="12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jednostajnie zmienny,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 się zależnościami położenia, wartości prędkości i drogi od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zmianę prędkości i przyspieszenie z wykresów zależności prędkości od czasu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dla ruchu prostoliniowego jednostajnie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zmiennego (przyspieszonego lub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opóźnionego)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interpretuje związek między siłą i masą a przyspieszeniem; opisuje związek jednostki siły (1 N) z jednostkami podstawowymi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drugą zasadę dynamiki do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 zachowania się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i porównuje tarcie statyczne i tarcie kinetyczne; wyjaśnia, jakie czynniki wpływają na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siłę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czego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opór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powietrza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omawia rolę tarcia na wybranych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przykładach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analizuje wyniki doświadczalnego badania czynników wpływających </w:t>
            </w:r>
            <w:r>
              <w:rPr>
                <w:color w:val="221F1F"/>
                <w:w w:val="105"/>
                <w:sz w:val="15"/>
                <w:szCs w:val="15"/>
              </w:rPr>
              <w:t xml:space="preserve">na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siłę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tarcia; zaznacza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schematycznym rysunku wektor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siły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tarcia i określa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jego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cechy; opracowuje wyniki doświadczenia domowego, uwzględniając niepewności pomiarowe; przedstawia wyniki </w:t>
            </w:r>
            <w:r>
              <w:rPr>
                <w:color w:val="221F1F"/>
                <w:w w:val="105"/>
                <w:sz w:val="15"/>
                <w:szCs w:val="15"/>
              </w:rPr>
              <w:t xml:space="preserve">na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wykresie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siły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bezwładności, określa cechy tej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doświadczalnie demonstruje działanie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siły bezwładności, m.in. na przykładzie gwałtownie hamujących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pojazdów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układy inercjalne i układy nieinercjalne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 pochodzące z analizy tekstu popularnonaukowego do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rozwiązywania zadań lub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problemów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bada: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równoważenie siły wypadkowej,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korzystając z opisu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jak porusza się ciało, kiedy nie działa na nie żadna siła albo wszystkie działające nań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się równoważą; analizuje siły działające na ciało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 w:before="0" w:after="120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(za pomocą programów komputerowych) ruch ciała pod wpływem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niezrównoważonej siły, korzystając z jego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(za pomocą programów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komputerowych) zależność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przyspieszenia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masy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 i wartości siły oraz obserwuje skutki działania siły, korzystając z ich opisów;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spacing w:val="-6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przedstawia, analizuje i opracowuje wyniki doświadczenia, uwzględniając 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>niepewności pomiarów; formułuje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>wnioski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typowe zadania i problemy: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trzeciej zasady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wyznaczaniem siły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wypadkowej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związku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z drogą i czasem, w jakim ta droga została przebyta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opisem ruchu jednostajnego prostoliniowego, z wykorzystaniem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pierwszej zasady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 jednostajnie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zmiennym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drugiej zasady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 ciał, uwzględniając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opory ruchu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siłami bezwładności i opisem zjawisk w układach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inercjalnych i nieinercjalnych,</w:t>
            </w:r>
          </w:p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>w szczególności: posługuje się materiałami pomocniczymi i kalkulatorem, tworzy teksty i rysunki schematyczne w celu zilustrowania zjawiska lub problemu, wykonuje obliczenia szacunkowe i poddaje analizie otrzymany wynik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dokonuje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syntezy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wiedzy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o </w:t>
            </w:r>
            <w:r>
              <w:rPr>
                <w:color w:val="221F1F"/>
                <w:w w:val="105"/>
                <w:sz w:val="15"/>
                <w:szCs w:val="15"/>
              </w:rPr>
              <w:t>przyczynach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 xml:space="preserve">opisie ruchu prostoliniowego, uwzględniając opory </w:t>
            </w:r>
            <w:r>
              <w:rPr>
                <w:color w:val="221F1F"/>
                <w:sz w:val="14"/>
                <w:szCs w:val="14"/>
              </w:rPr>
              <w:t>ruchu i układ odniesienia; przedstawia najważniejsze</w:t>
            </w:r>
            <w:r>
              <w:rPr>
                <w:color w:val="221F1F"/>
                <w:w w:val="105"/>
                <w:sz w:val="15"/>
                <w:szCs w:val="15"/>
              </w:rPr>
              <w:t xml:space="preserve"> pojęcia, zasady i zależności, porównuje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ruchy jednostajny i jednostajnie zmienny</w:t>
            </w:r>
          </w:p>
        </w:tc>
        <w:tc>
          <w:tcPr>
            <w:tcW w:w="341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wartość siły wypadkowej dla sił działających w dowolnych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kierunkach na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płaszczyźnie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na wybranym przykładzie praktyczne wykorzystanie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wyznaczania siły wypadkowej dla sił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działających w dowolnych kierunkach na płaszczyźnie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na wybranym przykładzie sposób określania prędkości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chwilowej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dlaczego wykresem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zależności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x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  <w:r>
              <w:rPr>
                <w:color w:val="221F1F"/>
                <w:w w:val="105"/>
                <w:sz w:val="15"/>
                <w:szCs w:val="15"/>
              </w:rPr>
              <w:t xml:space="preserve"> dla ruchu jednostajnego prostoliniowego jest linia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prosta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porównuje ruchy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jednostajny i jednostajnie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zmienny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sporządza i interpretuje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wykresy zależności wartości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i przyspieszenia w ruchu prostoliniowym jednostajnie zmiennym od czasu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siły działające na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spadające ciało, na przykładzie skoku na spadochronie; ilustruje je schematycznym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rysunkiem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na przykładach różnice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między opisami zjawisk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obserwowanych w pojazdach poruszających się ruchem jednostajnie zmiennym, w układach inercjalnych i nieinercjalnych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 materiałów źródłowych, w tym tekstów popularnonaukowych lub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zaczerpniętych z internetu,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dotyczących:</w:t>
            </w:r>
          </w:p>
          <w:p>
            <w:pPr>
              <w:pStyle w:val="TableParagraph"/>
              <w:widowControl w:val="false"/>
              <w:numPr>
                <w:ilvl w:val="1"/>
                <w:numId w:val="3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oddziaływań</w:t>
            </w:r>
          </w:p>
          <w:p>
            <w:pPr>
              <w:pStyle w:val="TableParagraph"/>
              <w:widowControl w:val="false"/>
              <w:numPr>
                <w:ilvl w:val="1"/>
                <w:numId w:val="3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występujących w przyrodzie</w:t>
            </w:r>
          </w:p>
          <w:p>
            <w:pPr>
              <w:pStyle w:val="TableParagraph"/>
              <w:widowControl w:val="false"/>
              <w:numPr>
                <w:ilvl w:val="1"/>
                <w:numId w:val="3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występowania i skutków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 bezwładności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i problemy:</w:t>
            </w:r>
          </w:p>
          <w:p>
            <w:pPr>
              <w:pStyle w:val="TableParagraph"/>
              <w:widowControl w:val="false"/>
              <w:numPr>
                <w:ilvl w:val="1"/>
                <w:numId w:val="3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wyznaczaniem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wypadkowej</w:t>
            </w:r>
          </w:p>
          <w:p>
            <w:pPr>
              <w:pStyle w:val="TableParagraph"/>
              <w:widowControl w:val="false"/>
              <w:numPr>
                <w:ilvl w:val="1"/>
                <w:numId w:val="3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związku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z drogą i czasem, w jakim ta droga została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przebyta</w:t>
            </w:r>
          </w:p>
          <w:p>
            <w:pPr>
              <w:pStyle w:val="TableParagraph"/>
              <w:widowControl w:val="false"/>
              <w:numPr>
                <w:ilvl w:val="1"/>
                <w:numId w:val="3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opisem ruchu jednostajnego,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wykorzystując pierwszą zasadę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1"/>
                <w:numId w:val="3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jednostajnie zmiennym</w:t>
            </w:r>
          </w:p>
          <w:p>
            <w:pPr>
              <w:pStyle w:val="TableParagraph"/>
              <w:widowControl w:val="false"/>
              <w:numPr>
                <w:ilvl w:val="1"/>
                <w:numId w:val="3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wykorzystaniem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drugiej zasady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ruchem,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uwzględniając opory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</w:p>
          <w:p>
            <w:pPr>
              <w:pStyle w:val="TableParagraph"/>
              <w:widowControl w:val="false"/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– </w:t>
            </w:r>
            <w:r>
              <w:rPr>
                <w:color w:val="221F1F"/>
                <w:w w:val="105"/>
                <w:sz w:val="15"/>
                <w:szCs w:val="15"/>
              </w:rPr>
              <w:t>związane z siłami bezwładności i opisem zjawisk w układach inercjalnych i nieinercjalnych</w:t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 i modyfikuje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 doświadczeń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dotyczących: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badania równoważenia siły wypadkowej; 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przedstawia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graficznie i opisuje rozkład sił w doświadczeniu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 ruchu ciała pod wpływem niezrównoważonej siły (za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pomocą programów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komputerowych)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 zależności przyspieszenia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 masy ciała i wartości działającej siły (za pomocą programów komputerowych) oraz obserwacji skutków działania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 czynników wpływających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siłę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demonstracji działania</w:t>
            </w:r>
            <w:r>
              <w:rPr>
                <w:rFonts w:cs="HelveticaNeueLT Pro 65 Md" w:ascii="HelveticaNeueLT Pro 65 Md" w:hAnsi="HelveticaNeueLT Pro 65 Md"/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siły bezwładności</w:t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samodzielnie wyszukuje i analizuje materiały źródłowe, w tym teksty popularnonaukowe dotyczące treści rozdziału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Przyczyny i opis ruchu prostoliniowego</w:t>
            </w:r>
            <w:r>
              <w:rPr>
                <w:color w:val="221F1F"/>
                <w:w w:val="105"/>
                <w:sz w:val="15"/>
                <w:szCs w:val="15"/>
              </w:rPr>
              <w:t>, np. historii formułowania zasad dynamiki;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 tych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materiałów</w:t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projekt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związany z badaniem ruchu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(opisany w podręczniku); prezentuje wyniki doświadczenia domowego</w:t>
            </w:r>
          </w:p>
        </w:tc>
        <w:tc>
          <w:tcPr>
            <w:tcW w:w="318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 w:before="0" w:after="12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nietypowe, złożone zadania i problemy związane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 siły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wypadkowej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związku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z drogą i czasem, w jakim ta droga została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przebyta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opisem ruchu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jednostajnego,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pierwszej zasady dynamiki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jednostajnie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zmiennym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drugiej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dynamiki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ruchem, z uwzględnieniem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oporów ruchu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siłami bezwładności oraz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opisami zjawisk w układach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inercjalnychi nieinercjalnych</w:t>
            </w:r>
          </w:p>
          <w:p>
            <w:pPr>
              <w:pStyle w:val="TableParagraph"/>
              <w:widowControl w:val="false"/>
              <w:numPr>
                <w:ilvl w:val="1"/>
                <w:numId w:val="3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własny projekt związany z badaniem ruchu (inny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niż opisany w podręczniku)</w:t>
            </w:r>
          </w:p>
        </w:tc>
      </w:tr>
      <w:tr>
        <w:trPr>
          <w:trHeight w:val="20" w:hRule="atLeast"/>
        </w:trPr>
        <w:tc>
          <w:tcPr>
            <w:tcW w:w="14001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0" w:hanging="0"/>
              <w:jc w:val="center"/>
              <w:rPr>
                <w:rFonts w:ascii="Times New Roman" w:hAnsi="Times New Roman" w:cs="Times New Roman"/>
                <w:b/>
                <w:b/>
                <w:sz w:val="14"/>
                <w:szCs w:val="14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2. Ruch po okręgu i grawitacja</w:t>
            </w:r>
          </w:p>
        </w:tc>
      </w:tr>
      <w:tr>
        <w:trPr>
          <w:trHeight w:val="20" w:hRule="atLeast"/>
        </w:trPr>
        <w:tc>
          <w:tcPr>
            <w:tcW w:w="352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ruchy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 i krzywoliniowy; wskazuje w otoczeniu przykłady ruchu krzywoliniowego, w szczególności ruchu po okręgu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pojęciami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okresu i częstotliwości wraz z ich jednostkami; opisuje związek jednostki częstotliwości (1 Hz) z jednostką czasu (1 s)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(na przykładach), jaki skutek wywołuje siła działająca prostopadle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kierunku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siłę dośrodkową jako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przyczynę ruchu jednostajnego po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siły ciężkości; stosuje w obliczeniach związek między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siłą ciężkości, masą i przyspieszeniem grawitacyjnym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w otoczeniu i opisuje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 oddziaływania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grawitacyjnego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stwierdza, że funkcję siły dośrodkowej w ruchu ciał niebieskich pełni siła grawitacji; wskazuje siłę grawitacji jako przyczynę ruchu krzywoliniowego ciał niebieskich (planet, księżyców);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określa wpływ siły grawitacji na tor ruchu tych ciał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4"/>
                <w:szCs w:val="14"/>
              </w:rPr>
            </w:pPr>
            <w:r>
              <w:rPr>
                <w:color w:val="221F1F"/>
                <w:w w:val="105"/>
                <w:sz w:val="14"/>
                <w:szCs w:val="14"/>
              </w:rPr>
              <w:t>wskazuje siłę grawitacji jako siłę dośrodkową w ruchu satelitów</w:t>
            </w:r>
            <w:r>
              <w:rPr>
                <w:color w:val="221F1F"/>
                <w:spacing w:val="-24"/>
                <w:w w:val="105"/>
                <w:sz w:val="14"/>
                <w:szCs w:val="14"/>
              </w:rPr>
              <w:t xml:space="preserve"> </w:t>
            </w:r>
            <w:r>
              <w:rPr>
                <w:color w:val="221F1F"/>
                <w:w w:val="105"/>
                <w:sz w:val="14"/>
                <w:szCs w:val="14"/>
              </w:rPr>
              <w:t>wokół Ziemi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wie, jak i gdzie można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przeprowadzać obserwacje astronomiczne;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wymienia i przestrzega zasad bezpieczeństwa podczas obserwacji nieba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stwierdza, że wagi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sprężynowa i elektroniczna bezpośrednio mierzą siłę nacisku ciała, które się na nich znajduje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opisuje, jak poruszają się po niebie gwiazdy i planety, gdy obserwujemy je z Ziemi; wskazuje przyczynę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pozornego ruchu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nieba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obserwacje i doświadczenia, korzystając z ich opisów: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obserwację skutków działania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dośrodkowej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doświadczenia modelowe lub obserwacje faz Księżyca i ruchu Księżyca wokół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Ziemi;</w:t>
            </w:r>
          </w:p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wyniki doświadczeń i obserwacji</w:t>
            </w:r>
          </w:p>
          <w:p>
            <w:pPr>
              <w:pStyle w:val="Table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proste zadania i problemy związane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20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opisem ruchu jednostajnego po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1"/>
                <w:numId w:val="20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związku między siłą dośrodkową a masą i prędkością liniową ciała oraz promieniem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1"/>
                <w:numId w:val="20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opisem oddziaływania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grawitacyjnego</w:t>
            </w:r>
          </w:p>
          <w:p>
            <w:pPr>
              <w:pStyle w:val="TableParagraph"/>
              <w:widowControl w:val="false"/>
              <w:numPr>
                <w:ilvl w:val="1"/>
                <w:numId w:val="20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planet i księżyców</w:t>
            </w:r>
          </w:p>
          <w:p>
            <w:pPr>
              <w:pStyle w:val="TableParagraph"/>
              <w:widowControl w:val="false"/>
              <w:numPr>
                <w:ilvl w:val="1"/>
                <w:numId w:val="20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satelitów wokół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Ziemi, z wykorzystaniem wzoru na prędkość satelity</w:t>
            </w:r>
          </w:p>
          <w:p>
            <w:pPr>
              <w:pStyle w:val="TableParagraph"/>
              <w:widowControl w:val="false"/>
              <w:numPr>
                <w:ilvl w:val="1"/>
                <w:numId w:val="20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 stanów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nieważkości i przeciążenia</w:t>
            </w:r>
          </w:p>
          <w:p>
            <w:pPr>
              <w:pStyle w:val="TableParagraph"/>
              <w:widowControl w:val="false"/>
              <w:numPr>
                <w:ilvl w:val="1"/>
                <w:numId w:val="20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konsekwencjami prostoliniowego rozchodzenia się światła oraz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Księżyca i Ziemi w Układzie Słonecznym</w:t>
            </w:r>
          </w:p>
          <w:p>
            <w:pPr>
              <w:pStyle w:val="TableParagraph"/>
              <w:widowControl w:val="false"/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rFonts w:cs="Myriad Pro" w:ascii="Myriad Pro" w:hAnsi="Myriad Pro"/>
                <w:color w:val="221F1F"/>
                <w:w w:val="105"/>
                <w:sz w:val="15"/>
                <w:szCs w:val="15"/>
              </w:rPr>
              <w:t xml:space="preserve">–  </w:t>
            </w:r>
            <w:r>
              <w:rPr>
                <w:color w:val="221F1F"/>
                <w:w w:val="105"/>
                <w:sz w:val="15"/>
                <w:szCs w:val="15"/>
              </w:rPr>
              <w:t>budową Układu Słonecznego,</w:t>
            </w:r>
          </w:p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>w szczególności: wyodrębnia z tekstów i ilustracji informacje kluczowe dla opisywanego zjawiska bądź problemu, przedstawia je w różnych postaciach, przelicza wielokrotności i podwielokrotności,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przeprowadza obliczenia i zapisuje wynik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zgodnie z zasadami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zaokrąglania, z zachowaniem liczby cyfr znaczących wynikającej z dokładności danych</w:t>
            </w:r>
          </w:p>
          <w:p>
            <w:pPr>
              <w:pStyle w:val="TableParagraph"/>
              <w:widowControl w:val="false"/>
              <w:numPr>
                <w:ilvl w:val="0"/>
                <w:numId w:val="1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tekst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Nieoceniony</w:t>
            </w:r>
            <w:r>
              <w:rPr>
                <w:rFonts w:cs="Arial" w:ascii="Arial" w:hAnsi="Arial"/>
                <w:i/>
                <w:iCs/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towarzysz</w:t>
            </w:r>
            <w:r>
              <w:rPr>
                <w:color w:val="221F1F"/>
                <w:w w:val="105"/>
                <w:sz w:val="15"/>
                <w:szCs w:val="15"/>
              </w:rPr>
              <w:t>; wyodrębnia informacje kluczowe, posługuje się nimi i przedstawia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 w różnych postaciach</w:t>
            </w:r>
          </w:p>
        </w:tc>
        <w:tc>
          <w:tcPr>
            <w:tcW w:w="38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 w:before="0" w:after="24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jednostajny po okręgu,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 się pojęciami: okresu,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częstotliwości i prędkości liniowej, wraz z ich jednostkami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rysuje i opisuje wektor prędkości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liniowej w ruchu jednostajnym po okręgu, określa jego cechy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 okres i częstotliwość w ruchu jednostajnym po okręgu; opisuje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związek między prędkością liniową a promieniem okręgu i okresem lub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częstotliwością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porównuje okresy i częstotliwości w ruchu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 okręgu wybranych ciał; posługuje się informacjami pochodzącymi z analizy materiałów źródłowych (infografiki zamieszczonej w podręczniku)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wskazuje siłę dośrodkową jako przyczynę ruchu jednostajnego po okręgu, określa jej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cechy (kierunek i zwrot); wskazuje przykłady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sił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pełniących funkcję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dośrodkowej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ilustruje na schematycznym rysunku wyniki obserwacji skutków działania siły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dośrodkowej</w:t>
            </w:r>
          </w:p>
          <w:p>
            <w:pPr>
              <w:pStyle w:val="Table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interpretuje związek między siłą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dośrodkową a masą, prędkością liniową i promieniem w ruchu jednostajnym po okręgu (na podstawie wyników doświadczenia); zapisuje wzór na wartość siły dośrodkowej</w:t>
            </w:r>
          </w:p>
          <w:p>
            <w:pPr>
              <w:pStyle w:val="Table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jakościowo (na wybranych przykładach ruchu) siły pełniące funkcję siły dośrodkowej, np. siły: tarcia,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elektrostatyczną, naprężenia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nici</w:t>
            </w:r>
          </w:p>
          <w:p>
            <w:pPr>
              <w:pStyle w:val="Table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nazywa obracający się układ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odniesienia układem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nieinercjalnym</w:t>
            </w:r>
          </w:p>
          <w:p>
            <w:pPr>
              <w:pStyle w:val="Table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siłę grawitacji jako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przyczynę spadania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>
            <w:pPr>
              <w:pStyle w:val="Table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formułuje prawo powszechnego ciążenia; posługuje się prawem powszechnego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ciążenia do opisu oddziaływania grawitacyjnego; ilustruje na rysunku schematycznym siły oddziaływania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grawitacyjnego</w:t>
            </w:r>
          </w:p>
          <w:p>
            <w:pPr>
              <w:pStyle w:val="Table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podaje i interpretuje wzór na siłę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grawitacji w postaci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F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G</m:t>
              </m:r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∙</m:t>
                  </m:r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b>
                  </m:sSub>
                </m:num>
                <m:den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p>
                </m:den>
              </m:f>
            </m:oMath>
            <w:r>
              <w:rPr>
                <w:color w:val="221F1F"/>
                <w:w w:val="105"/>
                <w:sz w:val="15"/>
                <w:szCs w:val="15"/>
              </w:rPr>
              <w:t>; posługuje się pojęciem stałej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grawitacji; podaje</w:t>
            </w:r>
            <w:r>
              <w:rPr>
                <w:color w:val="221F1F"/>
                <w:spacing w:val="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jej wartość,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korzystając z materiałów pomocniczych</w:t>
            </w:r>
          </w:p>
          <w:p>
            <w:pPr>
              <w:pStyle w:val="Table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siłę grawitacji jako siłę dośrodkową w ruchu po orbicie kołowej; wyjaśnia,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dlaczego planety krążą wokół Słońca, a księżyce –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wokół planet, a nie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odwrotnie</w:t>
            </w:r>
          </w:p>
          <w:p>
            <w:pPr>
              <w:pStyle w:val="Table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dlaczego Księżyc nie spada na Ziemię; ilustruje na rysunku schematycznym siły oddziaływania grawitacyjnego między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tymi ciałami</w:t>
            </w:r>
          </w:p>
          <w:p>
            <w:pPr>
              <w:pStyle w:val="Table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rFonts w:ascii="Arial" w:hAnsi="Arial" w:cs="Arial"/>
                <w:i/>
                <w:i/>
                <w:iCs/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przedstawia wybrane informacje z historii odkryć związanych z grawitacją, w szczególności teorię ruchu Księżyca, na podstawie analizy tekstów z podręcznika: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Jak można zmierzyć masę Ziemi i Działo Newtona</w:t>
            </w:r>
          </w:p>
          <w:p>
            <w:pPr>
              <w:pStyle w:val="Table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opisuje wygląd nieba nocą oraz widomy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obrót nieba w ciągu doby, wyjaśnia z czego on wynika; posługuje się pojęciami: Gwiazda Polarna,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gwiazdozbiory</w:t>
            </w:r>
          </w:p>
          <w:p>
            <w:pPr>
              <w:pStyle w:val="Table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omawia ruch satelitów wokół Ziemi; posługuje się pojęciem satelity geostacjonarnego, omawia jego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 i możliwości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wykorzystania</w:t>
            </w:r>
          </w:p>
          <w:p>
            <w:pPr>
              <w:pStyle w:val="Table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podaje i interpretuje wzór na prędkość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satelity; oblicza wartość prędkości na orbicie kołowej o dowolnym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promieniu</w:t>
            </w:r>
          </w:p>
          <w:p>
            <w:pPr>
              <w:pStyle w:val="TableParagraph"/>
              <w:widowControl w:val="false"/>
              <w:numPr>
                <w:ilvl w:val="0"/>
                <w:numId w:val="1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najważniejsze fakty z historii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lotów kosmicznych i wymienia przykłady zastosowania satelitów (na podstawie informacji zamieszczonych w podręczniku)</w:t>
            </w:r>
          </w:p>
          <w:p>
            <w:pPr>
              <w:pStyle w:val="TableParagraph"/>
              <w:widowControl w:val="false"/>
              <w:numPr>
                <w:ilvl w:val="0"/>
                <w:numId w:val="1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stan nieważkości i stan przeciążenia; podaje warunki i przykłady ich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występowania</w:t>
            </w:r>
          </w:p>
          <w:p>
            <w:pPr>
              <w:pStyle w:val="TableParagraph"/>
              <w:widowControl w:val="false"/>
              <w:numPr>
                <w:ilvl w:val="0"/>
                <w:numId w:val="1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opisuje warunki i i podaje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 występowania stanu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niedociążenia</w:t>
            </w:r>
          </w:p>
          <w:p>
            <w:pPr>
              <w:pStyle w:val="TableParagraph"/>
              <w:widowControl w:val="false"/>
              <w:numPr>
                <w:ilvl w:val="0"/>
                <w:numId w:val="1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wygląd powierzchni Księżyca oraz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jego miejsce i ruch w Układzie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Słonecznym</w:t>
            </w:r>
          </w:p>
          <w:p>
            <w:pPr>
              <w:pStyle w:val="TableParagraph"/>
              <w:widowControl w:val="false"/>
              <w:numPr>
                <w:ilvl w:val="0"/>
                <w:numId w:val="1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mechanizm powstawania faz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Księżyca i zaćmień jako konsekwencje prostoliniowego rozchodzenia się światła w ośrodku jednorodnym</w:t>
            </w:r>
          </w:p>
          <w:p>
            <w:pPr>
              <w:pStyle w:val="TableParagraph"/>
              <w:widowControl w:val="false"/>
              <w:numPr>
                <w:ilvl w:val="0"/>
                <w:numId w:val="1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budowę Układu Słonecznego i jego miejsce w Galaktyce; posługuje się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pojęciami jednostki astronomicznej i roku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świetlnego</w:t>
            </w:r>
          </w:p>
          <w:p>
            <w:pPr>
              <w:pStyle w:val="TableParagraph"/>
              <w:widowControl w:val="false"/>
              <w:numPr>
                <w:ilvl w:val="0"/>
                <w:numId w:val="1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budowę planet Układu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Słonecznego oraz innych obiektów Układu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Słonecznego</w:t>
            </w:r>
          </w:p>
          <w:p>
            <w:pPr>
              <w:pStyle w:val="TableParagraph"/>
              <w:widowControl w:val="false"/>
              <w:numPr>
                <w:ilvl w:val="0"/>
                <w:numId w:val="1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rozwój astronomii od czasów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Kopernika do czasów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Newtona</w:t>
            </w:r>
          </w:p>
          <w:p>
            <w:pPr>
              <w:pStyle w:val="TableParagraph"/>
              <w:widowControl w:val="false"/>
              <w:numPr>
                <w:ilvl w:val="0"/>
                <w:numId w:val="1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 doświadczenia i obserwacje:</w:t>
            </w:r>
          </w:p>
          <w:p>
            <w:pPr>
              <w:pStyle w:val="TableParagraph"/>
              <w:widowControl w:val="false"/>
              <w:numPr>
                <w:ilvl w:val="1"/>
                <w:numId w:val="1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8"/>
              <w:ind w:left="334" w:right="108" w:hanging="164"/>
              <w:rPr>
                <w:rFonts w:ascii="HelveticaNeueLT Pro 65 Md" w:hAnsi="HelveticaNeueLT Pro 65 Md" w:cs="HelveticaNeueLT Pro 65 Md"/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doświadczalnie bada związek między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siłą dośrodkową a masą, prędkością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34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liniową i promieniem w ruchu jednostajnym po okręgu</w:t>
            </w:r>
          </w:p>
          <w:p>
            <w:pPr>
              <w:pStyle w:val="TableParagraph"/>
              <w:widowControl w:val="false"/>
              <w:numPr>
                <w:ilvl w:val="1"/>
                <w:numId w:val="1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8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obserwuje stan przeciążenia i stan nieważkości oraz pozorne zmiany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ciężaru w windzie,</w:t>
            </w:r>
          </w:p>
          <w:p>
            <w:pPr>
              <w:pStyle w:val="TableParagraph"/>
              <w:widowControl w:val="false"/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>korzystając z ich opisu; przedstawia, opisuje, analizuje i opracowuje wyniki doświadczeń i obserwacji, uwzględniając niepewności pomiarów; formułuje wnioski</w:t>
            </w:r>
          </w:p>
          <w:p>
            <w:pPr>
              <w:pStyle w:val="TableParagraph"/>
              <w:widowControl w:val="false"/>
              <w:numPr>
                <w:ilvl w:val="0"/>
                <w:numId w:val="1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typowe zadania i problemy związane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1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8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opisem ruchu jednostajnego po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1"/>
                <w:numId w:val="1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8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związku między siłą dośrodkową a masą i prędkością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liniową ciała oraz promieniem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1"/>
                <w:numId w:val="1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8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oddziaływaniem grawitacyjnym oraz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ruchem planet i księżyców</w:t>
            </w:r>
          </w:p>
          <w:p>
            <w:pPr>
              <w:pStyle w:val="TableParagraph"/>
              <w:widowControl w:val="false"/>
              <w:numPr>
                <w:ilvl w:val="1"/>
                <w:numId w:val="1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8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obserwacjami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nieba</w:t>
            </w:r>
          </w:p>
          <w:p>
            <w:pPr>
              <w:pStyle w:val="TableParagraph"/>
              <w:widowControl w:val="false"/>
              <w:numPr>
                <w:ilvl w:val="1"/>
                <w:numId w:val="1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8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satelitów wokół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Ziemi,</w:t>
            </w:r>
          </w:p>
          <w:p>
            <w:pPr>
              <w:pStyle w:val="TableParagraph"/>
              <w:widowControl w:val="false"/>
              <w:numPr>
                <w:ilvl w:val="1"/>
                <w:numId w:val="1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8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wzoru na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prędkość satelity</w:t>
            </w:r>
          </w:p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8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 stanów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nieważkości i przeciążenia</w:t>
            </w:r>
          </w:p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8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konsekwencjami prostoliniowego rozchodzenia się światła oraz ruchu Księżyca i Ziemi w Układzie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Słonecznym</w:t>
            </w:r>
          </w:p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8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budową Układu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Słonecznego,</w:t>
            </w:r>
          </w:p>
          <w:p>
            <w:pPr>
              <w:pStyle w:val="TableParagraph"/>
              <w:widowControl w:val="false"/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>w szczególności: posługuje się materiałami pomocniczymi, w tym tablicami fizycznymi oraz kartą wybranych wzorów i stałych fizykochemicznych; wykonuje obliczenia szacunkowe i poddaje analizie otrzymany wynik; przeprowadza obliczenia liczbowe, posługując się kalkulatorem</w:t>
            </w:r>
          </w:p>
          <w:p>
            <w:pPr>
              <w:pStyle w:val="Table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wykorzystuje informacje pochodzące z analizy tekstu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 xml:space="preserve">Nieoceniony towarzysz </w:t>
            </w:r>
            <w:r>
              <w:rPr>
                <w:color w:val="221F1F"/>
                <w:w w:val="105"/>
                <w:sz w:val="15"/>
                <w:szCs w:val="15"/>
              </w:rPr>
              <w:t>do rozwiązywania zadań i problemów</w:t>
            </w:r>
          </w:p>
          <w:p>
            <w:pPr>
              <w:pStyle w:val="Table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dokonuje syntezy wiedzy o ruchu po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 i grawitacji; przedstawia najważniejsze pojęcia, zasady i zależności</w:t>
            </w:r>
          </w:p>
        </w:tc>
        <w:tc>
          <w:tcPr>
            <w:tcW w:w="341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 w:before="0" w:after="240"/>
              <w:ind w:left="221" w:right="108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stosuje w obliczeniach związek między prędkością liniową a promieniem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 i okresem lub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częstotliwością</w:t>
            </w:r>
          </w:p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(na wybranym przykładzie), jak wartość siły dośrodkowej zależy od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masy i prędkości ciała oraz promienia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(na wybranych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przykładach ruchu) siły pełniące funkcję siły dośrodkowej</w:t>
            </w:r>
          </w:p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stosuje w obliczeniach związek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między siłą dośrodkową a masą ciała, jego prędkością liniową i promieniem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siły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odśrodkowej jako siły bezwładności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działającej w układzie obracającym się</w:t>
            </w:r>
          </w:p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opisuje siły w układzie nieinercjalnym związanym z obracającym się ciałem;</w:t>
            </w:r>
            <w:r>
              <w:rPr>
                <w:color w:val="221F1F"/>
                <w:w w:val="105"/>
                <w:position w:val="2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omawia różnice między opisem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ciał w układach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inercjalnych i nieinercjalnych na przykładzie obracającej się tarczy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4"/>
                <w:sz w:val="15"/>
                <w:szCs w:val="15"/>
              </w:rPr>
              <w:t xml:space="preserve">stosuje w obliczeniach wzór na siłę gwawitacji w postaci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F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G</m:t>
              </m:r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∙</m:t>
                  </m:r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b>
                  </m:sSub>
                </m:num>
                <m:den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p>
                </m:den>
              </m:f>
            </m:oMath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przedstawia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wybrane z historii informacje odkryć związanych z grawitacją, w szczególności teorię ruchu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Księżyca, na podstawie analizy tekstu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wybranego samodzielnie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ilustruje właściwości siły grawitacji, posługując się analogią – porównuje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 piłeczki przyczepionej do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sznurka z ruchem Księżyca wokół Ziemi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wzajemne okrążanie się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dwóch przyciągających się ciał na przykładzie podwójnych układów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gwiazd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korzysta ze stron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internetowych pomocnych podczas obserwacji astronomicznych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wyjaśnia, jak korzystać z papierowej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 internetowej mapy nieba wyprowadza wzór na prędkość satelity; rozróżnia prędkości kosmiczne pierwszą i drugą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najważniejsze fakty z historii lotów kosmicznych; podaje przykłady zastosowania satelitów (na podstawie samodzielnie wybranych materiałów źródłowych)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czym jest nieważkość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panująca w statku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kosmicznym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analizuje siły działające na ciało poruszające się z przyspieszeniem skierowanym pionowo (na przykładzie windy); ilustruje je na schematycznym rysunku 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opisuje jakościowo stan niedociążenia, opisuje warunki i podaje przykłady jego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występowania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i oblicza wskazania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wagi w windzie ruszającej w górę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kiedy następuje zaćmienie Księżyca, a kiedy – zaćmienie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Słońca; ilustruje to na rysunkach schematycznych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wymienia prawa rządzące ruchem planet wokół Słońca i ruchem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księżyców wokół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planet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materiałów źródłowych, w tym tekstów popularnonaukowych i internetu, dotyczącymi: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8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ruchu po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8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występowania faz Księżyca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oraz zaćmień Księżyca i Słońca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8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rozwoju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astronomii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i problemy związane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8"/>
              <w:ind w:left="334" w:right="108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opisem ruchu jednostajnego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8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zależności między siłą dośrodkową a masą i prędkością ciała oraz promieniem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8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opisem oddziaływania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grawitacyjnego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8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planet i księżyców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satelitów wokół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Ziemi, z wykorzystaniem wzoru na prędkość satelity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 stanów: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nieważkości, przeciążenia i 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niedociążenia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konsekwencjami ruchu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Księżyca i Ziemi w Układzie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Słonecznym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budową Układu Słonecznego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oraz ruchem planet wokół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Słońca, a księżyców – wokół planet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 i modyfikuje przebieg doświadczalnego badania związku między siłą dośrodkową a masą, prędkością liniową i promieniem w ruchu jednostajnym po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 obserwacje astronomiczne, np. faz Wenus, księżyców Jowisza i pierścieni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Saturna; opisuje wyniki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obserwacji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projekt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 xml:space="preserve">Satelity </w:t>
            </w:r>
            <w:r>
              <w:rPr>
                <w:color w:val="221F1F"/>
                <w:w w:val="105"/>
                <w:sz w:val="15"/>
                <w:szCs w:val="15"/>
              </w:rPr>
              <w:t>(opisany w podręczniku)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samodzielnie wyszukuje i analizuje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tekst popularnonaukowy dotyczący ruchu po okręgu i grawitacji, posługuje się informacjami pochodzącymi z jego analizy</w:t>
            </w:r>
          </w:p>
        </w:tc>
        <w:tc>
          <w:tcPr>
            <w:tcW w:w="318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2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omawia różnice między opisami ruchu ciał w układach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inercjalnych i nieinercjalnych (na przykładzie innym niż obracająca się tarcza)</w:t>
            </w:r>
          </w:p>
          <w:p>
            <w:pPr>
              <w:pStyle w:val="TableParagraph"/>
              <w:widowControl w:val="false"/>
              <w:numPr>
                <w:ilvl w:val="0"/>
                <w:numId w:val="2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siły działające na ciało poruszające się z przyspieszeniem skierowanym pionowo (na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przykładzie innym niż poruszająca się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winda)</w:t>
            </w:r>
          </w:p>
          <w:p>
            <w:pPr>
              <w:pStyle w:val="TableParagraph"/>
              <w:widowControl w:val="false"/>
              <w:numPr>
                <w:ilvl w:val="0"/>
                <w:numId w:val="2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analizuje i oblicza wskazania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wagi w windzie ruszającej w dół</w:t>
            </w:r>
          </w:p>
          <w:p>
            <w:pPr>
              <w:pStyle w:val="TableParagraph"/>
              <w:widowControl w:val="false"/>
              <w:numPr>
                <w:ilvl w:val="0"/>
                <w:numId w:val="2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przeprowadza wybrane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obserwacje nieba za pomocą smartfona lub korzystając z mapy nieba i ich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opisu; (planuje i modyfikuje ich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przebieg)</w:t>
            </w:r>
          </w:p>
          <w:p>
            <w:pPr>
              <w:pStyle w:val="TableParagraph"/>
              <w:widowControl w:val="false"/>
              <w:numPr>
                <w:ilvl w:val="0"/>
                <w:numId w:val="2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stosuje w obliczeniach trzecie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prawo Keplera dla orbit kołowych; interpretuje to prawo jako konsekwencję powszechnego ciążenia</w:t>
            </w:r>
          </w:p>
          <w:p>
            <w:pPr>
              <w:pStyle w:val="TableParagraph"/>
              <w:widowControl w:val="false"/>
              <w:numPr>
                <w:ilvl w:val="0"/>
                <w:numId w:val="2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nietypowe, złożone zadania i problemy związane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– </w:t>
            </w:r>
            <w:r>
              <w:rPr>
                <w:color w:val="221F1F"/>
                <w:w w:val="105"/>
                <w:sz w:val="15"/>
                <w:szCs w:val="15"/>
              </w:rPr>
              <w:t>opisem ruchu jednostajnego po okręgu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związku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między siłą dośrodkową a masą i prędkością ciała oraz promieniem okręgu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opisem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oddziaływania grawitacyjnego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planet i księżyców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satelitów wokół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Ziemi, z wykorzystaniem wzoru na prędkość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satelity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 stanów: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nieważkości, przeciążenia i 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niedociążenia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konsekwencjami ruchu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Księżyca i Ziemi w Układzie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Słonecznym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budową Układu Słonecznego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oraz ruchem planet wokół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Słońca i ruchem księżyców wokół planet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własny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projekt związany z ruchem po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 i grawitacją</w:t>
            </w:r>
          </w:p>
        </w:tc>
      </w:tr>
      <w:tr>
        <w:trPr>
          <w:trHeight w:val="20" w:hRule="atLeast"/>
        </w:trPr>
        <w:tc>
          <w:tcPr>
            <w:tcW w:w="14001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  <w:vAlign w:val="cente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0" w:hanging="0"/>
              <w:jc w:val="center"/>
              <w:rPr>
                <w:rFonts w:ascii="Times New Roman" w:hAnsi="Times New Roman" w:cs="Times New Roman"/>
                <w:b/>
                <w:b/>
                <w:sz w:val="14"/>
                <w:szCs w:val="14"/>
              </w:rPr>
            </w:pPr>
            <w:r>
              <w:rPr>
                <w:rFonts w:cs="Arial" w:ascii="Arial" w:hAnsi="Arial"/>
                <w:b/>
                <w:color w:val="221F1F"/>
                <w:w w:val="110"/>
                <w:sz w:val="15"/>
                <w:szCs w:val="15"/>
              </w:rPr>
              <w:t>3. Praca, moc, energia</w:t>
            </w:r>
          </w:p>
        </w:tc>
      </w:tr>
      <w:tr>
        <w:trPr>
          <w:trHeight w:val="20" w:hRule="atLeast"/>
        </w:trPr>
        <w:tc>
          <w:tcPr>
            <w:tcW w:w="352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pojęciami: pracy mechanicznej, energii kinetycznej, energii potencjalnej grawitacji, energii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 sprężystości, energii wewnętrznej,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 z ich jednostkami; wskazuje przykłady wykonywania pracy w życiu codziennym i w sensie fizycznym; opisuje wykonaną pracę jako zmianę energii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związek pracy z siłą i drogą, na jakiej ta praca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została wykonana, gdy kierunek działania siły jest zgodny z kierunkiem ruchu ciała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 wyznacza wykonaną pracę, korzystając z opisu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różne formy energii, posługując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przykładami z otoczenia; wykazuje, że energię wewnętrzną układu można zmienić, wykonując nad nim pracę lub przekazując doń energię w postaci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ciepła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pojęciami: energii kinetycznej, energii potencjalnej i energii mechanicznej, wraz z ich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jednostkami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sposoby obliczania energii potencjalnej i energii kinetycznej; wyznacza zmianę energii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 grawitacji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pojęciami: energii kinetycznej, energii potencjalnej, energii mechanicznej i energii wewnętrznej,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 z ich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jednostkami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formułuje zasadę zachowania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formułuje zasadę zachowania energii mechanicznej; wyjaśnia, kiedy można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ją stosować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i opisuje przykłady przemian energii na podstawie własnych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obserwacji oraz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infografiki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Przykłady</w:t>
            </w:r>
            <w:r>
              <w:rPr>
                <w:rFonts w:cs="Arial" w:ascii="Arial" w:hAnsi="Arial"/>
                <w:i/>
                <w:iCs/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przemian</w:t>
            </w:r>
            <w:r>
              <w:rPr>
                <w:rFonts w:cs="Arial" w:ascii="Arial" w:hAnsi="Arial"/>
                <w:i/>
                <w:iCs/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 xml:space="preserve">energii </w:t>
            </w:r>
            <w:r>
              <w:rPr>
                <w:color w:val="221F1F"/>
                <w:w w:val="105"/>
                <w:sz w:val="15"/>
                <w:szCs w:val="15"/>
              </w:rPr>
              <w:t>(lub innych materiałów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źródłowych)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mocy wraz z jej jednostką; porównuje moce różnych urządzeń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podaje i interpretuje wzór na obliczanie mocy; stosuje w obliczeniach związek mocy z pracą i czasem, w jakim ta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praca została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wykonana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analizuje tekst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Nowy rekord zapotrzebowania na moc</w:t>
            </w:r>
            <w:r>
              <w:rPr>
                <w:color w:val="221F1F"/>
                <w:w w:val="105"/>
                <w:sz w:val="15"/>
                <w:szCs w:val="15"/>
              </w:rPr>
              <w:t>;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wyodrębnia z niego informacje kluczowe, posługuje się nimi i przedstawia je w różnych postaciach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proste zadania i problemy związane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i pracą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mechaniczną</w:t>
            </w:r>
          </w:p>
          <w:p>
            <w:pPr>
              <w:pStyle w:val="TableParagraph"/>
              <w:widowControl w:val="false"/>
              <w:numPr>
                <w:ilvl w:val="1"/>
                <w:numId w:val="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energii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 i energii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kinetycznej</w:t>
            </w:r>
          </w:p>
          <w:p>
            <w:pPr>
              <w:pStyle w:val="TableParagraph"/>
              <w:widowControl w:val="false"/>
              <w:numPr>
                <w:ilvl w:val="1"/>
                <w:numId w:val="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przemianami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wykorzystaniem </w:t>
            </w:r>
            <w:r>
              <w:rPr>
                <w:color w:val="221F1F"/>
                <w:w w:val="105"/>
                <w:sz w:val="15"/>
                <w:szCs w:val="15"/>
              </w:rPr>
              <w:t>zasady zachowania energii mechanicznej</w:t>
            </w:r>
          </w:p>
          <w:p>
            <w:pPr>
              <w:pStyle w:val="TableParagraph"/>
              <w:widowControl w:val="false"/>
              <w:numPr>
                <w:ilvl w:val="1"/>
                <w:numId w:val="5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mocą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wykorzystaniem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związku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mocy z pracą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energią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czasem,</w:t>
            </w:r>
          </w:p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 xml:space="preserve">w szczególności: wyodrębnia z tekstów i ilustracji informacje kluczowe dla opisywanego zjawiska bądź problemu, przedstawia je w różnych postaciach, przelicza 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>wielokrotności i 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podwielokrotności </w:t>
            </w:r>
            <w:r>
              <w:rPr>
                <w:color w:val="221F1F"/>
                <w:w w:val="105"/>
                <w:sz w:val="15"/>
                <w:szCs w:val="15"/>
              </w:rPr>
              <w:t>oraz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jednostki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czasu,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wykonuje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obliczenia i zapisuje wynik zgodnie z zasadami zaokrąglania, z zachowaniem liczby cyfr znaczących wynikającej z dokładności pomiaru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danych</w:t>
            </w:r>
          </w:p>
        </w:tc>
        <w:tc>
          <w:tcPr>
            <w:tcW w:w="38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wykazuje na przykładach, że siła działająca przeciwnie do kierunku ruchu wykonuje pracę ujemną, a gdy siła jest prostopadła do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kierunku ruchu, praca jest równa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zero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opracowuje i analizuje wyniki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doświadczalnego wyznaczania wykonanej pracy, uwzględniając niepewności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pomiarowe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przekazywanie energii (na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wybranym przykładzie)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wzory na energię potencjalną i energię kinetyczną oraz związek między siłą ciężkości, masą i przyspieszeniem grawitacyjnym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porównuje ciężar i energię potencjalną na różnych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ciałach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niebieskich,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korzystając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tabeli wartości przyspieszenia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grawitacyjnego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zasadę zachowania energii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opisu zjawisk zachodzących w otoczeniu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zasadę zachowania energii mechanicznej; wykazuje jej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użyteczność w opisie spadku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swobodnego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przemiany energii (na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wybranym przykładzie)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związek jednostki mocy z jednostkami podstawowymi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8" w:before="0" w:after="12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związek energii zużytej przez dane urządzenie w określonym czasie z mocą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tego urządzenia,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E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P</m:t>
              </m:r>
              <m:r>
                <w:rPr>
                  <w:rFonts w:ascii="Cambria Math" w:hAnsi="Cambria Math"/>
                </w:rPr>
                <m:t xml:space="preserve">∙</m:t>
              </m:r>
              <m:r>
                <w:rPr>
                  <w:rFonts w:ascii="Cambria Math" w:hAnsi="Cambria Math"/>
                </w:rPr>
                <m:t xml:space="preserve">t</m:t>
              </m:r>
            </m:oMath>
            <w:r>
              <w:rPr>
                <w:rFonts w:cs="Arial" w:ascii="Arial" w:hAnsi="Arial"/>
                <w:i/>
                <w:iCs/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ten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związek w obliczeniach; posługuje się pojęciem kilowatogodziny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wykorzystuje informacje zawarte w tekście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 xml:space="preserve">Nowy rekord zapotrzebowania na moc </w:t>
            </w:r>
            <w:r>
              <w:rPr>
                <w:color w:val="221F1F"/>
                <w:w w:val="105"/>
                <w:sz w:val="15"/>
                <w:szCs w:val="15"/>
              </w:rPr>
              <w:t>do rozwiązywania zadań lub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problemów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pochodzącymi z analizy zamieszczonych w podręczniku tekstów dotyczących mocy i energii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doświadczenia:</w:t>
            </w:r>
          </w:p>
          <w:p>
            <w:pPr>
              <w:pStyle w:val="TableParagraph"/>
              <w:widowControl w:val="false"/>
              <w:numPr>
                <w:ilvl w:val="1"/>
                <w:numId w:val="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 przemiany energii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mechanicznej</w:t>
            </w:r>
          </w:p>
          <w:p>
            <w:pPr>
              <w:pStyle w:val="TableParagraph"/>
              <w:widowControl w:val="false"/>
              <w:numPr>
                <w:ilvl w:val="1"/>
                <w:numId w:val="4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bada przemiany energii, 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>korzystając z ich opisów;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przedstawia i analizuje wyniki doświadczeń, formułuje wnioski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rozwiązuje typowe zadania i problemy </w:t>
            </w: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i pracą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mechaniczną</w:t>
            </w:r>
          </w:p>
          <w:p>
            <w:pPr>
              <w:pStyle w:val="TableParagraph"/>
              <w:widowControl w:val="false"/>
              <w:numPr>
                <w:ilvl w:val="1"/>
                <w:numId w:val="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energii potencjalnej i energii kinetycznej</w:t>
            </w:r>
          </w:p>
          <w:p>
            <w:pPr>
              <w:pStyle w:val="TableParagraph"/>
              <w:widowControl w:val="false"/>
              <w:numPr>
                <w:ilvl w:val="1"/>
                <w:numId w:val="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przemianami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wykorzystaniem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zachowania energii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mechanicznej</w:t>
            </w:r>
          </w:p>
          <w:p>
            <w:pPr>
              <w:pStyle w:val="TableParagraph"/>
              <w:widowControl w:val="false"/>
              <w:numPr>
                <w:ilvl w:val="1"/>
                <w:numId w:val="3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mocą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wykorzystaniem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związku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mocy z pracą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energią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czasem,</w:t>
            </w:r>
          </w:p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>w szczególności: posługuje się materiałami pomocniczymi, w tym tablicami fizycznymi oraz kartą wybranych wzorów i stałych fizykochemicznych, wykonuje obliczenia szacunkowe i poddaje analizie otrzymany wynik, wykonuje obliczenia liczbowe, posługując się kalkulatorem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dokonuje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syntezy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wiedzy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o </w:t>
            </w:r>
            <w:r>
              <w:rPr>
                <w:color w:val="221F1F"/>
                <w:w w:val="105"/>
                <w:sz w:val="15"/>
                <w:szCs w:val="15"/>
              </w:rPr>
              <w:t>pracy,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mocy i energii; przedstawia najważniejsze pojęcia, zasady i zależności, porównuje ruchy jednostajny i jednostajnie zmienny</w:t>
            </w:r>
          </w:p>
        </w:tc>
        <w:tc>
          <w:tcPr>
            <w:tcW w:w="341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1"/>
              <w:ind w:left="221" w:right="108" w:hanging="164"/>
              <w:rPr>
                <w:color w:val="221F1F"/>
                <w:w w:val="105"/>
                <w:sz w:val="14"/>
                <w:szCs w:val="14"/>
              </w:rPr>
            </w:pPr>
            <w:r>
              <w:rPr>
                <w:color w:val="221F1F"/>
                <w:w w:val="105"/>
                <w:position w:val="2"/>
                <w:sz w:val="14"/>
                <w:szCs w:val="14"/>
              </w:rPr>
              <w:t>R</w:t>
            </w:r>
            <w:r>
              <w:rPr>
                <w:color w:val="221F1F"/>
                <w:w w:val="105"/>
                <w:sz w:val="14"/>
                <w:szCs w:val="14"/>
              </w:rPr>
              <w:t>analizuje zależność pracy od kąta między wektorem siły a kierunkiem</w:t>
            </w:r>
            <w:r>
              <w:rPr>
                <w:color w:val="221F1F"/>
                <w:spacing w:val="-27"/>
                <w:w w:val="105"/>
                <w:sz w:val="14"/>
                <w:szCs w:val="14"/>
              </w:rPr>
              <w:t xml:space="preserve"> </w:t>
            </w:r>
            <w:r>
              <w:rPr>
                <w:color w:val="221F1F"/>
                <w:w w:val="105"/>
                <w:sz w:val="14"/>
                <w:szCs w:val="14"/>
              </w:rPr>
              <w:t>ruchu ciała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1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 materiałów źródłowych, w tym tekstów popularnonaukowych, lub z internetu, dotyczących energii, przemian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 i pracy mechanicznej oraz historii odkryć z nimi związanych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1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i problemy związane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1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i pracą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mechaniczną</w:t>
            </w:r>
          </w:p>
          <w:p>
            <w:pPr>
              <w:pStyle w:val="TableParagraph"/>
              <w:widowControl w:val="false"/>
              <w:numPr>
                <w:ilvl w:val="1"/>
                <w:numId w:val="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1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energii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 i energii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kinetycznej</w:t>
            </w:r>
          </w:p>
          <w:p>
            <w:pPr>
              <w:pStyle w:val="TableParagraph"/>
              <w:widowControl w:val="false"/>
              <w:numPr>
                <w:ilvl w:val="1"/>
                <w:numId w:val="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1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przemianami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energii,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wykorzystaniem </w:t>
            </w:r>
            <w:r>
              <w:rPr>
                <w:color w:val="221F1F"/>
                <w:w w:val="105"/>
                <w:sz w:val="15"/>
                <w:szCs w:val="15"/>
              </w:rPr>
              <w:t>zasady zachowania energii mechanicznej</w:t>
            </w:r>
          </w:p>
          <w:p>
            <w:pPr>
              <w:pStyle w:val="TableParagraph"/>
              <w:widowControl w:val="false"/>
              <w:numPr>
                <w:ilvl w:val="1"/>
                <w:numId w:val="7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1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mocą i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wykorzystaniem </w:t>
            </w:r>
            <w:r>
              <w:rPr>
                <w:color w:val="221F1F"/>
                <w:w w:val="105"/>
                <w:sz w:val="15"/>
                <w:szCs w:val="15"/>
              </w:rPr>
              <w:t>związku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mocy z pracą lub energią i czasem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1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 i modyfikuje przebieg doświadczalnego badania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przemian energii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mechanicznej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1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 i przeprowadza doświadczenie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– wyznacza moc swojego organizmu podczas rozpędzania się na rowerze; opracowuje wyniki doświadczenia, uwzględniając niepewności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pomiarowe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1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samodzielnie wyszukuje i analizuje materiały źródłowe, w tym teksty popularnonaukowe dotyczące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mocy i energii; posługuje się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informacjami pochodzącymi z analizy tych materiałów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prezentuje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projekt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 xml:space="preserve">Pożywienie to też energia </w:t>
            </w:r>
            <w:r>
              <w:rPr>
                <w:color w:val="221F1F"/>
                <w:w w:val="105"/>
                <w:sz w:val="15"/>
                <w:szCs w:val="15"/>
              </w:rPr>
              <w:t xml:space="preserve">(opisany w podręczniku); prezentuje wyniki doświadczenia domowego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Moc</w:t>
            </w:r>
            <w:r>
              <w:rPr>
                <w:rFonts w:cs="Arial" w:ascii="Arial" w:hAnsi="Arial"/>
                <w:i/>
                <w:iCs/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rowerzysty</w:t>
            </w:r>
          </w:p>
        </w:tc>
        <w:tc>
          <w:tcPr>
            <w:tcW w:w="318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nietypowe, złożone zadania i problemy związane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6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i pracą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mechaniczną</w:t>
            </w:r>
          </w:p>
          <w:p>
            <w:pPr>
              <w:pStyle w:val="TableParagraph"/>
              <w:widowControl w:val="false"/>
              <w:numPr>
                <w:ilvl w:val="1"/>
                <w:numId w:val="6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energii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 i energii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kinetycznej</w:t>
            </w:r>
          </w:p>
          <w:p>
            <w:pPr>
              <w:pStyle w:val="TableParagraph"/>
              <w:widowControl w:val="false"/>
              <w:numPr>
                <w:ilvl w:val="1"/>
                <w:numId w:val="6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1"/>
                <w:sz w:val="15"/>
                <w:szCs w:val="15"/>
              </w:rPr>
              <w:t>przemianami</w:t>
            </w:r>
            <w:r>
              <w:rPr>
                <w:color w:val="221F1F"/>
                <w:spacing w:val="31"/>
                <w:sz w:val="15"/>
                <w:szCs w:val="15"/>
              </w:rPr>
              <w:t xml:space="preserve"> </w:t>
            </w:r>
            <w:r>
              <w:rPr>
                <w:color w:val="221F1F"/>
                <w:sz w:val="15"/>
                <w:szCs w:val="15"/>
              </w:rPr>
              <w:t>energii i </w:t>
            </w:r>
            <w:r>
              <w:rPr>
                <w:color w:val="221F1F"/>
                <w:w w:val="105"/>
                <w:sz w:val="15"/>
                <w:szCs w:val="15"/>
              </w:rPr>
              <w:t>wykorzystaniem zasady zachowania energii mechanicznej</w:t>
            </w:r>
          </w:p>
          <w:p>
            <w:pPr>
              <w:pStyle w:val="TableParagraph"/>
              <w:widowControl w:val="false"/>
              <w:numPr>
                <w:ilvl w:val="1"/>
                <w:numId w:val="6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mocą i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wykorzystaniem </w:t>
            </w:r>
            <w:r>
              <w:rPr>
                <w:color w:val="221F1F"/>
                <w:w w:val="105"/>
                <w:sz w:val="15"/>
                <w:szCs w:val="15"/>
              </w:rPr>
              <w:t>związku mocy z pracą lub energią i czasem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własny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projekt związany z pracą, mocą i energią (inny niż opisany w podręczniku)</w:t>
            </w:r>
          </w:p>
        </w:tc>
      </w:tr>
    </w:tbl>
    <w:p>
      <w:pPr>
        <w:pStyle w:val="Nagwek1"/>
        <w:overflowPunct w:val="false"/>
        <w:spacing w:before="114" w:after="0"/>
        <w:ind w:left="101" w:hanging="0"/>
        <w:rPr>
          <w:b/>
          <w:b/>
          <w:bCs/>
          <w:color w:val="221F1F"/>
        </w:rPr>
      </w:pPr>
      <w:r>
        <w:rPr>
          <w:b/>
          <w:bCs/>
          <w:color w:val="221F1F"/>
        </w:rPr>
        <w:t>Sposoby sprawdzania osiągnięć edukacyjnych ucznia</w:t>
      </w:r>
    </w:p>
    <w:p>
      <w:pPr>
        <w:pStyle w:val="Tretekstu"/>
        <w:overflowPunct w:val="false"/>
        <w:spacing w:lineRule="auto" w:line="276" w:before="68" w:after="0"/>
        <w:ind w:left="323" w:hanging="0"/>
        <w:rPr>
          <w:color w:val="221F1F"/>
          <w:w w:val="105"/>
        </w:rPr>
      </w:pPr>
      <w:r>
        <w:rPr>
          <w:color w:val="221F1F"/>
          <w:w w:val="105"/>
        </w:rPr>
        <w:t>Osiągnięcia edukacyjne ucznia są sprawdzane: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78" w:leader="none"/>
        </w:tabs>
        <w:overflowPunct w:val="false"/>
        <w:spacing w:lineRule="auto" w:line="276"/>
        <w:ind w:left="323" w:hanging="144"/>
        <w:rPr>
          <w:color w:val="221F1F"/>
          <w:w w:val="110"/>
          <w:sz w:val="17"/>
          <w:szCs w:val="17"/>
        </w:rPr>
      </w:pPr>
      <w:r>
        <w:rPr>
          <w:color w:val="221F1F"/>
          <w:w w:val="110"/>
          <w:sz w:val="17"/>
          <w:szCs w:val="17"/>
        </w:rPr>
        <w:t>ustnie (waga</w:t>
      </w:r>
      <w:r>
        <w:rPr>
          <w:color w:val="221F1F"/>
          <w:spacing w:val="-37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0,2),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78" w:leader="none"/>
        </w:tabs>
        <w:overflowPunct w:val="false"/>
        <w:spacing w:lineRule="auto" w:line="276"/>
        <w:ind w:left="323" w:hanging="14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pisemnie (waga</w:t>
      </w:r>
      <w:r>
        <w:rPr>
          <w:color w:val="221F1F"/>
          <w:spacing w:val="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0,5),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78" w:leader="none"/>
        </w:tabs>
        <w:overflowPunct w:val="false"/>
        <w:spacing w:lineRule="auto" w:line="276"/>
        <w:ind w:left="323" w:hanging="14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praktycznie, tzn. w trakcie wykonywania doświadczeń (waga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0,3). Ocena klasyfikacyjna jest średnią ważoną ocen</w:t>
      </w:r>
      <w:r>
        <w:rPr>
          <w:color w:val="221F1F"/>
          <w:spacing w:val="1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cząstkowych.</w:t>
      </w:r>
    </w:p>
    <w:p>
      <w:pPr>
        <w:pStyle w:val="Normal"/>
        <w:tabs>
          <w:tab w:val="clear" w:pos="720"/>
          <w:tab w:val="left" w:pos="378" w:leader="none"/>
        </w:tabs>
        <w:overflowPunct w:val="false"/>
        <w:spacing w:lineRule="auto" w:line="252" w:before="120" w:after="120"/>
        <w:ind w:left="125" w:hanging="0"/>
        <w:jc w:val="center"/>
        <w:rPr>
          <w:color w:val="221F1F"/>
          <w:w w:val="105"/>
          <w:sz w:val="16"/>
          <w:szCs w:val="16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r>
            <w:rPr>
              <w:rFonts w:ascii="Cambria Math" w:hAnsi="Cambria Math"/>
            </w:rPr>
            <m:t xml:space="preserve">ocena</m:t>
          </m:r>
          <m:r>
            <w:rPr>
              <w:rFonts w:ascii="Cambria Math" w:hAnsi="Cambria Math"/>
            </w:rPr>
            <m:t xml:space="preserve">=</m:t>
          </m:r>
          <m:r>
            <w:rPr>
              <w:rFonts w:ascii="Cambria Math" w:hAnsi="Cambria Math"/>
            </w:rPr>
            <m:t xml:space="preserve">suma</m:t>
          </m:r>
          <m:r>
            <w:rPr>
              <w:rFonts w:ascii="Cambria Math" w:hAnsi="Cambria Math"/>
            </w:rPr>
            <m:t xml:space="preserve">ocen</m:t>
          </m:r>
          <m:r>
            <w:rPr>
              <w:rFonts w:ascii="Cambria Math" w:hAnsi="Cambria Math"/>
            </w:rPr>
            <m:t xml:space="preserve">„</m:t>
          </m:r>
          <m:r>
            <w:rPr>
              <w:rFonts w:ascii="Cambria Math" w:hAnsi="Cambria Math"/>
            </w:rPr>
            <m:t xml:space="preserve">ustne</m:t>
          </m:r>
          <m:r>
            <m:rPr>
              <m:lit/>
              <m:nor/>
            </m:rPr>
            <w:rPr>
              <w:rFonts w:ascii="Cambria Math" w:hAnsi="Cambria Math"/>
            </w:rPr>
            <m:t xml:space="preserve"> ∙ 0,2  +  suma ocen „pisemne</m:t>
          </m:r>
          <m:r>
            <w:rPr>
              <w:rFonts w:ascii="Cambria Math" w:hAnsi="Cambria Math"/>
            </w:rPr>
            <m:t xml:space="preserve">∙</m:t>
          </m:r>
          <m:r>
            <w:rPr>
              <w:rFonts w:ascii="Cambria Math" w:hAnsi="Cambria Math"/>
            </w:rPr>
            <m:t xml:space="preserve">0,5</m:t>
          </m:r>
          <m:r>
            <w:rPr>
              <w:rFonts w:ascii="Cambria Math" w:hAnsi="Cambria Math"/>
            </w:rPr>
            <m:t xml:space="preserve">+</m:t>
          </m:r>
          <m:r>
            <w:rPr>
              <w:rFonts w:ascii="Cambria Math" w:hAnsi="Cambria Math"/>
            </w:rPr>
            <m:t xml:space="preserve">suma</m:t>
          </m:r>
          <m:r>
            <w:rPr>
              <w:rFonts w:ascii="Cambria Math" w:hAnsi="Cambria Math"/>
            </w:rPr>
            <m:t xml:space="preserve">ocen</m:t>
          </m:r>
          <m:r>
            <w:rPr>
              <w:rFonts w:ascii="Cambria Math" w:hAnsi="Cambria Math"/>
            </w:rPr>
            <m:t xml:space="preserve">„</m:t>
          </m:r>
          <m:r>
            <w:rPr>
              <w:rFonts w:ascii="Cambria Math" w:hAnsi="Cambria Math"/>
            </w:rPr>
            <m:t xml:space="preserve">praktyczne</m:t>
          </m:r>
          <m:r>
            <m:rPr>
              <m:lit/>
              <m:nor/>
            </m:rPr>
            <w:rPr>
              <w:rFonts w:ascii="Cambria Math" w:hAnsi="Cambria Math"/>
            </w:rPr>
            <m:t xml:space="preserve"> ∙  0.3\} over \{liczba ocen „ustne</m:t>
          </m:r>
          <m:r>
            <w:rPr>
              <w:rFonts w:ascii="Cambria Math" w:hAnsi="Cambria Math"/>
            </w:rPr>
            <m:t xml:space="preserve">∙</m:t>
          </m:r>
          <m:r>
            <w:rPr>
              <w:rFonts w:ascii="Cambria Math" w:hAnsi="Cambria Math"/>
            </w:rPr>
            <m:t xml:space="preserve">0,2</m:t>
          </m:r>
          <m:r>
            <w:rPr>
              <w:rFonts w:ascii="Cambria Math" w:hAnsi="Cambria Math"/>
            </w:rPr>
            <m:t xml:space="preserve">+</m:t>
          </m:r>
          <m:r>
            <w:rPr>
              <w:rFonts w:ascii="Cambria Math" w:hAnsi="Cambria Math"/>
            </w:rPr>
            <m:t xml:space="preserve">liczba</m:t>
          </m:r>
          <m:r>
            <w:rPr>
              <w:rFonts w:ascii="Cambria Math" w:hAnsi="Cambria Math"/>
            </w:rPr>
            <m:t xml:space="preserve">ocen</m:t>
          </m:r>
          <m:r>
            <w:rPr>
              <w:rFonts w:ascii="Cambria Math" w:hAnsi="Cambria Math"/>
            </w:rPr>
            <m:t xml:space="preserve">„</m:t>
          </m:r>
          <m:r>
            <w:rPr>
              <w:rFonts w:ascii="Cambria Math" w:hAnsi="Cambria Math"/>
            </w:rPr>
            <m:t xml:space="preserve">pisemne</m:t>
          </m:r>
          <m:r>
            <m:rPr>
              <m:lit/>
              <m:nor/>
            </m:rPr>
            <w:rPr>
              <w:rFonts w:ascii="Cambria Math" w:hAnsi="Cambria Math"/>
            </w:rPr>
            <m:t xml:space="preserve">  ∙  0,5 + liczba ocen „praktyczne</m:t>
          </m:r>
          <m:r>
            <w:rPr>
              <w:rFonts w:ascii="Cambria Math" w:hAnsi="Cambria Math"/>
            </w:rPr>
            <m:t xml:space="preserve">∙</m:t>
          </m:r>
          <m:r>
            <w:rPr>
              <w:rFonts w:ascii="Cambria Math" w:hAnsi="Cambria Math"/>
            </w:rPr>
            <m:t xml:space="preserve">0.3</m:t>
          </m:r>
        </m:oMath>
      </m:oMathPara>
    </w:p>
    <w:p>
      <w:pPr>
        <w:pStyle w:val="Tretekstu"/>
        <w:overflowPunct w:val="false"/>
        <w:spacing w:lineRule="auto" w:line="360" w:before="0" w:after="120"/>
        <w:ind w:left="57" w:firstLine="170"/>
        <w:contextualSpacing/>
        <w:rPr>
          <w:color w:val="221F1F"/>
          <w:w w:val="105"/>
        </w:rPr>
      </w:pPr>
      <w:r>
        <w:rPr>
          <w:color w:val="221F1F"/>
          <w:w w:val="105"/>
        </w:rPr>
        <w:t>Na ocenę klasyfikacyjną wpływają również aktywność na lekcji i zaangażowanie w naukę. Te czynniki są brane pod uwagę zwłaszcza wtedy, gdy ocena jest pośrednia</w:t>
        <w:br/>
        <w:t xml:space="preserve"> (np. 4,5).</w:t>
      </w:r>
    </w:p>
    <w:p>
      <w:pPr>
        <w:pStyle w:val="Tretekstu"/>
        <w:overflowPunct w:val="false"/>
        <w:spacing w:before="240" w:after="0"/>
        <w:rPr>
          <w:rFonts w:ascii="Bookman Old Style" w:hAnsi="Bookman Old Style" w:cs="Bookman Old Style"/>
          <w:b/>
          <w:b/>
          <w:bCs/>
          <w:color w:val="221F1F"/>
          <w:w w:val="105"/>
        </w:rPr>
      </w:pPr>
      <w:r>
        <w:rPr>
          <w:rFonts w:cs="Bookman Old Style" w:ascii="Bookman Old Style" w:hAnsi="Bookman Old Style"/>
          <w:b/>
          <w:bCs/>
          <w:color w:val="221F1F"/>
          <w:w w:val="105"/>
        </w:rPr>
        <w:t>Warunki i tryb uzyskiwania oceny wyższej niż przewidywana</w:t>
      </w:r>
    </w:p>
    <w:p>
      <w:pPr>
        <w:pStyle w:val="Tretekstu"/>
        <w:overflowPunct w:val="false"/>
        <w:spacing w:lineRule="auto" w:line="276" w:before="21" w:after="0"/>
        <w:ind w:firstLine="170"/>
        <w:rPr>
          <w:color w:val="221F1F"/>
        </w:rPr>
      </w:pPr>
      <w:r>
        <w:rPr>
          <w:color w:val="221F1F"/>
        </w:rPr>
        <w:t>Zgodne z zapisami w </w:t>
      </w:r>
      <w:r>
        <w:rPr>
          <w:rFonts w:cs="Bookman Old Style" w:ascii="Bookman Old Style" w:hAnsi="Bookman Old Style"/>
          <w:b/>
          <w:bCs/>
          <w:color w:val="221F1F"/>
        </w:rPr>
        <w:t xml:space="preserve">statucie </w:t>
      </w:r>
      <w:r>
        <w:rPr>
          <w:color w:val="221F1F"/>
        </w:rPr>
        <w:t>szkoły.</w:t>
      </w:r>
    </w:p>
    <w:p>
      <w:pPr>
        <w:pStyle w:val="Tretekstu"/>
        <w:overflowPunct w:val="false"/>
        <w:spacing w:lineRule="auto" w:line="276" w:before="12" w:after="0"/>
        <w:ind w:firstLine="170"/>
        <w:rPr>
          <w:color w:val="221F1F"/>
          <w:w w:val="105"/>
        </w:rPr>
      </w:pPr>
      <w:r>
        <w:rPr>
          <w:color w:val="221F1F"/>
          <w:w w:val="105"/>
        </w:rPr>
        <w:t>Starając się o podwyższenie przewidywanej oceny klasyfikacyjnej, uczeń powinien się wykazać umiejętnościami w zakresie tych elementów oceny, w których jego osią- gnięcia nie spełniały wymagań. Jeśli np. jego słabą stroną były oceny „ustne", sprawdzanie odbywa się ustnie.</w:t>
      </w:r>
    </w:p>
    <w:sectPr>
      <w:type w:val="continuous"/>
      <w:pgSz w:orient="landscape" w:w="16838" w:h="11906"/>
      <w:pgMar w:left="1418" w:right="1418" w:gutter="0" w:header="709" w:top="1134" w:footer="709" w:bottom="1701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HelveticaNeueLT Pro 55 Roman">
    <w:charset w:val="ee"/>
    <w:family w:val="roman"/>
    <w:pitch w:val="variable"/>
  </w:font>
  <w:font w:name="Bookman Old Style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Arial">
    <w:charset w:val="ee"/>
    <w:family w:val="roman"/>
    <w:pitch w:val="variable"/>
  </w:font>
  <w:font w:name="Century Gothic">
    <w:charset w:val="ee"/>
    <w:family w:val="roman"/>
    <w:pitch w:val="variable"/>
  </w:font>
  <w:font w:name="HelveticaNeueLT Pro 65 Md">
    <w:charset w:val="ee"/>
    <w:family w:val="roman"/>
    <w:pitch w:val="variable"/>
  </w:font>
  <w:font w:name="Times New Roman">
    <w:charset w:val="ee"/>
    <w:family w:val="roman"/>
    <w:pitch w:val="variable"/>
  </w:font>
  <w:font w:name="Myriad Pro">
    <w:charset w:val="ee"/>
    <w:family w:val="roman"/>
    <w:pitch w:val="variable"/>
  </w:font>
  <w:font w:name="HelveticaNeueLT Pro 55 Roman">
    <w:charset w:val="01"/>
    <w:family w:val="auto"/>
    <w:pitch w:val="default"/>
  </w:font>
  <w:font w:name="Century Gothic">
    <w:charset w:val="01"/>
    <w:family w:val="auto"/>
    <w:pitch w:val="default"/>
  </w:font>
  <w:font w:name="Book Antiqua">
    <w:charset w:val="01"/>
    <w:family w:val="auto"/>
    <w:pitch w:val="default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Sc"/>
      <w:rPr>
        <w:lang w:val="pl-PL"/>
      </w:rPr>
    </w:pPr>
    <w:r>
      <w:rPr>
        <w:lang w:val="pl-PL"/>
      </w:rPr>
      <w:t>Autor: Teresa Szalewska © Copyright by Nowa Era Sp. z o.o. • www.nowaera.pl</w:t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mc:AlternateContent>
        <mc:Choice Requires="wpg">
          <w:drawing>
            <wp:anchor behindDoc="1" distT="0" distB="0" distL="0" distR="0" simplePos="0" locked="0" layoutInCell="0" allowOverlap="1" relativeHeight="12">
              <wp:simplePos x="0" y="0"/>
              <wp:positionH relativeFrom="page">
                <wp:posOffset>-2127250</wp:posOffset>
              </wp:positionH>
              <wp:positionV relativeFrom="paragraph">
                <wp:posOffset>1671320</wp:posOffset>
              </wp:positionV>
              <wp:extent cx="2566670" cy="447040"/>
              <wp:effectExtent l="6985" t="0" r="0" b="0"/>
              <wp:wrapNone/>
              <wp:docPr id="3" name="Group 927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66080" cy="446400"/>
                        <a:chOff x="-1068120" y="611640"/>
                        <a:chExt cx="2566080" cy="446400"/>
                      </a:xfrm>
                    </wpg:grpSpPr>
                    <wps:wsp>
                      <wps:cNvSpPr/>
                      <wps:spPr>
                        <a:xfrm rot="16200000">
                          <a:off x="163080" y="-163080"/>
                          <a:ext cx="446400" cy="7729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703" h="1218">
                              <a:moveTo>
                                <a:pt x="0" y="0"/>
                              </a:moveTo>
                              <a:lnTo>
                                <a:pt x="0" y="1217"/>
                              </a:lnTo>
                              <a:lnTo>
                                <a:pt x="702" y="1217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3479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 rot="16200000">
                          <a:off x="1446840" y="-672480"/>
                          <a:ext cx="446400" cy="17920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703" h="2823">
                              <a:moveTo>
                                <a:pt x="0" y="0"/>
                              </a:moveTo>
                              <a:lnTo>
                                <a:pt x="0" y="2822"/>
                              </a:lnTo>
                              <a:lnTo>
                                <a:pt x="702" y="2822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927" style="position:absolute;margin-left:-71.25pt;margin-top:-4.9pt;width:136.2pt;height:141.1pt" coordorigin="-1425,-98" coordsize="2724,2822"/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2">
              <wp:simplePos x="0" y="0"/>
              <wp:positionH relativeFrom="page">
                <wp:posOffset>1833245</wp:posOffset>
              </wp:positionH>
              <wp:positionV relativeFrom="page">
                <wp:posOffset>-990600</wp:posOffset>
              </wp:positionV>
              <wp:extent cx="263525" cy="2799715"/>
              <wp:effectExtent l="0" t="1268095" r="0" b="1250950"/>
              <wp:wrapNone/>
              <wp:docPr id="4" name="Text Box 93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262800" cy="2799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tabs>
                              <w:tab w:val="clear" w:pos="720"/>
                              <w:tab w:val="left" w:pos="425" w:leader="none"/>
                              <w:tab w:val="left" w:pos="1985" w:leader="none"/>
                            </w:tabs>
                            <w:overflowPunct w:val="false"/>
                            <w:spacing w:lineRule="exact" w:line="154" w:before="33" w:after="0"/>
                            <w:ind w:left="20" w:hanging="0"/>
                            <w:rPr>
                              <w:rFonts w:ascii="Arial" w:hAnsi="Arial" w:cs="Arial"/>
                              <w:i/>
                              <w:i/>
                              <w:iCs/>
                              <w:color w:val="FFFFFF"/>
                              <w:w w:val="107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instrText> PAGE </w:instrText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fldChar w:fldCharType="separate"/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t>10</w:t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fldChar w:fldCharType="end"/>
                          </w: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w w:val="104"/>
                              <w:sz w:val="15"/>
                              <w:szCs w:val="15"/>
                            </w:rPr>
                            <w:t>Przedmiotowy system oceniania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930" path="m0,0l-2147483645,0l-2147483645,-2147483646l0,-2147483646xe" stroked="f" o:allowincell="f" style="position:absolute;margin-left:144.35pt;margin-top:-78pt;width:20.65pt;height:220.35pt;mso-wrap-style:square;v-text-anchor:top;rotation:90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tabs>
                        <w:tab w:val="clear" w:pos="720"/>
                        <w:tab w:val="left" w:pos="425" w:leader="none"/>
                        <w:tab w:val="left" w:pos="1985" w:leader="none"/>
                      </w:tabs>
                      <w:overflowPunct w:val="false"/>
                      <w:spacing w:lineRule="exact" w:line="154" w:before="33" w:after="0"/>
                      <w:ind w:left="20" w:hanging="0"/>
                      <w:rPr>
                        <w:rFonts w:ascii="Arial" w:hAnsi="Arial" w:cs="Arial"/>
                        <w:i/>
                        <w:i/>
                        <w:iCs/>
                        <w:color w:val="FFFFFF"/>
                        <w:w w:val="107"/>
                        <w:sz w:val="15"/>
                        <w:szCs w:val="15"/>
                      </w:rPr>
                    </w:pP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instrText> PAGE </w:instrText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fldChar w:fldCharType="separate"/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t>10</w:t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fldChar w:fldCharType="end"/>
                    </w: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sz w:val="15"/>
                        <w:szCs w:val="15"/>
                      </w:rPr>
                      <w:tab/>
                    </w: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w w:val="104"/>
                        <w:sz w:val="15"/>
                        <w:szCs w:val="15"/>
                      </w:rPr>
                      <w:t>Przedmiotowy system oceniania</w:t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22" w:hanging="200"/>
      </w:pPr>
      <w:rPr>
        <w:sz w:val="17"/>
        <w:b w:val="false"/>
        <w:szCs w:val="17"/>
        <w:bCs w:val="false"/>
        <w:w w:val="101"/>
        <w:rFonts w:ascii="Century Gothic" w:hAnsi="Century Gothic" w:cs="Century Gothic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76" w:hanging="20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32" w:hanging="20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688" w:hanging="20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144" w:hanging="20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600" w:hanging="20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056" w:hanging="20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512" w:hanging="20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968" w:hanging="200"/>
      </w:pPr>
      <w:rPr>
        <w:rFonts w:ascii="Symbol" w:hAnsi="Symbol" w:cs="Symbol" w:hint="default"/>
      </w:rPr>
    </w:lvl>
  </w:abstractNum>
  <w:abstractNum w:abstractNumId="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77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75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72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70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67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65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6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60" w:hanging="167"/>
      </w:pPr>
      <w:rPr>
        <w:rFonts w:ascii="Symbol" w:hAnsi="Symbol" w:cs="Symbol" w:hint="default"/>
      </w:rPr>
    </w:lvl>
  </w:abstractNum>
  <w:abstractNum w:abstractNumId="3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37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95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52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10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267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25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982" w:hanging="194"/>
      </w:pPr>
      <w:rPr>
        <w:rFonts w:ascii="Symbol" w:hAnsi="Symbol" w:cs="Symbol" w:hint="default"/>
      </w:rPr>
    </w:lvl>
  </w:abstractNum>
  <w:abstractNum w:abstractNumId="4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282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63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05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47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89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30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72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14" w:hanging="194"/>
      </w:pPr>
      <w:rPr>
        <w:rFonts w:ascii="Symbol" w:hAnsi="Symbol" w:cs="Symbol" w:hint="default"/>
      </w:rPr>
    </w:lvl>
  </w:abstractNum>
  <w:abstractNum w:abstractNumId="5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0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21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42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62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83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404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24" w:hanging="194"/>
      </w:pPr>
      <w:rPr>
        <w:rFonts w:ascii="Symbol" w:hAnsi="Symbol" w:cs="Symbol" w:hint="default"/>
      </w:rPr>
    </w:lvl>
  </w:abstractNum>
  <w:abstractNum w:abstractNumId="6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63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47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31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15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99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82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66" w:hanging="194"/>
      </w:pPr>
      <w:rPr>
        <w:rFonts w:ascii="Symbol" w:hAnsi="Symbol" w:cs="Symbol" w:hint="default"/>
      </w:rPr>
    </w:lvl>
  </w:abstractNum>
  <w:abstractNum w:abstractNumId="7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88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96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05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13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21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30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38" w:hanging="194"/>
      </w:pPr>
      <w:rPr>
        <w:rFonts w:ascii="Symbol" w:hAnsi="Symbol" w:cs="Symbol" w:hint="default"/>
      </w:rPr>
    </w:lvl>
  </w:abstractNum>
  <w:abstractNum w:abstractNumId="8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21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63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0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47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8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30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7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14" w:hanging="167"/>
      </w:pPr>
      <w:rPr>
        <w:rFonts w:ascii="Symbol" w:hAnsi="Symbol" w:cs="Symbol" w:hint="default"/>
      </w:rPr>
    </w:lvl>
  </w:abstractNum>
  <w:abstractNum w:abstractNumId="9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88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9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0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14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823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131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440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48" w:hanging="167"/>
      </w:pPr>
      <w:rPr>
        <w:rFonts w:ascii="Symbol" w:hAnsi="Symbol" w:cs="Symbol" w:hint="default"/>
      </w:rPr>
    </w:lvl>
  </w:abstractNum>
  <w:abstractNum w:abstractNumId="10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21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63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0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47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8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30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7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14" w:hanging="167"/>
      </w:pPr>
      <w:rPr>
        <w:rFonts w:ascii="Symbol" w:hAnsi="Symbol" w:cs="Symbol" w:hint="default"/>
      </w:rPr>
    </w:lvl>
  </w:abstractNum>
  <w:abstractNum w:abstractNumId="11">
    <w:lvl w:ilvl="0"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01" w:hanging="19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23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445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67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89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10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732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54" w:hanging="194"/>
      </w:pPr>
      <w:rPr>
        <w:rFonts w:ascii="Symbol" w:hAnsi="Symbol" w:cs="Symbol" w:hint="default"/>
      </w:rPr>
    </w:lvl>
  </w:abstractNum>
  <w:abstractNum w:abstractNumId="1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88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96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05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13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21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30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38" w:hanging="194"/>
      </w:pPr>
      <w:rPr>
        <w:rFonts w:ascii="Symbol" w:hAnsi="Symbol" w:cs="Symbol" w:hint="default"/>
      </w:rPr>
    </w:lvl>
  </w:abstractNum>
  <w:abstractNum w:abstractNumId="13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37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95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52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10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267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25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982" w:hanging="194"/>
      </w:pPr>
      <w:rPr>
        <w:rFonts w:ascii="Symbol" w:hAnsi="Symbol" w:cs="Symbol" w:hint="default"/>
      </w:rPr>
    </w:lvl>
  </w:abstractNum>
  <w:abstractNum w:abstractNumId="14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37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95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52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10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267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25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982" w:hanging="194"/>
      </w:pPr>
      <w:rPr>
        <w:rFonts w:ascii="Symbol" w:hAnsi="Symbol" w:cs="Symbol" w:hint="default"/>
      </w:rPr>
    </w:lvl>
  </w:abstractNum>
  <w:abstractNum w:abstractNumId="15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88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9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0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14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823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131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440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48" w:hanging="167"/>
      </w:pPr>
      <w:rPr>
        <w:rFonts w:ascii="Symbol" w:hAnsi="Symbol" w:cs="Symbol" w:hint="default"/>
      </w:rPr>
    </w:lvl>
  </w:abstractNum>
  <w:abstractNum w:abstractNumId="16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6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5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54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51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48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45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4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39" w:hanging="167"/>
      </w:pPr>
      <w:rPr>
        <w:rFonts w:ascii="Symbol" w:hAnsi="Symbol" w:cs="Symbol" w:hint="default"/>
      </w:rPr>
    </w:lvl>
  </w:abstractNum>
  <w:abstractNum w:abstractNumId="17">
    <w:lvl w:ilvl="0"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60" w:hanging="19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34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0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84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59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934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209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84" w:hanging="194"/>
      </w:pPr>
      <w:rPr>
        <w:rFonts w:ascii="Symbol" w:hAnsi="Symbol" w:cs="Symbol" w:hint="default"/>
      </w:rPr>
    </w:lvl>
  </w:abstractNum>
  <w:abstractNum w:abstractNumId="18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77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75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72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70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67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65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6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60" w:hanging="167"/>
      </w:pPr>
      <w:rPr>
        <w:rFonts w:ascii="Symbol" w:hAnsi="Symbol" w:cs="Symbol" w:hint="default"/>
      </w:rPr>
    </w:lvl>
  </w:abstractNum>
  <w:abstractNum w:abstractNumId="19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21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63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0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47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8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30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7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14" w:hanging="167"/>
      </w:pPr>
      <w:rPr>
        <w:rFonts w:ascii="Symbol" w:hAnsi="Symbol" w:cs="Symbol" w:hint="default"/>
      </w:rPr>
    </w:lvl>
  </w:abstractNum>
  <w:abstractNum w:abstractNumId="20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0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21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42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62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83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404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24" w:hanging="194"/>
      </w:pPr>
      <w:rPr>
        <w:rFonts w:ascii="Symbol" w:hAnsi="Symbol" w:cs="Symbol" w:hint="default"/>
      </w:rPr>
    </w:lvl>
  </w:abstractNum>
  <w:abstractNum w:abstractNumId="21">
    <w:lvl w:ilvl="0"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68" w:hanging="19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57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45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34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23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211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500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88" w:hanging="194"/>
      </w:pPr>
      <w:rPr>
        <w:rFonts w:ascii="Symbol" w:hAnsi="Symbol" w:cs="Symbol" w:hint="default"/>
      </w:rPr>
    </w:lvl>
  </w:abstractNum>
  <w:abstractNum w:abstractNumId="2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6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94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28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62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96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30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64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98" w:hanging="167"/>
      </w:pPr>
      <w:rPr>
        <w:rFonts w:ascii="Symbol" w:hAnsi="Symbol" w:cs="Symbol" w:hint="default"/>
      </w:rPr>
    </w:lvl>
  </w:abstractNum>
  <w:abstractNum w:abstractNumId="23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8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63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47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31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15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98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8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66" w:hanging="167"/>
      </w:pPr>
      <w:rPr>
        <w:rFonts w:ascii="Symbol" w:hAnsi="Symbol" w:cs="Symbol" w:hint="default"/>
      </w:rPr>
    </w:lvl>
  </w:abstractNum>
  <w:abstractNum w:abstractNumId="24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77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75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72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70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67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65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6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60" w:hanging="167"/>
      </w:pPr>
      <w:rPr>
        <w:rFonts w:ascii="Symbol" w:hAnsi="Symbol" w:cs="Symbol" w:hint="default"/>
      </w:rPr>
    </w:lvl>
  </w:abstractNum>
  <w:abstractNum w:abstractNumId="25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6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30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0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72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843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214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585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956" w:hanging="167"/>
      </w:pPr>
      <w:rPr>
        <w:rFonts w:ascii="Symbol" w:hAnsi="Symbol" w:cs="Symbol" w:hint="default"/>
      </w:rPr>
    </w:lvl>
  </w:abstractNum>
  <w:abstractNum w:abstractNumId="26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88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9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0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14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823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131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440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48" w:hanging="167"/>
      </w:pPr>
      <w:rPr>
        <w:rFonts w:ascii="Symbol" w:hAnsi="Symbol" w:cs="Symbol" w:hint="default"/>
      </w:rPr>
    </w:lvl>
  </w:abstractNum>
  <w:abstractNum w:abstractNumId="27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21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63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0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47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8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30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7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14" w:hanging="167"/>
      </w:pPr>
      <w:rPr>
        <w:rFonts w:ascii="Symbol" w:hAnsi="Symbol" w:cs="Symbol" w:hint="default"/>
      </w:rPr>
    </w:lvl>
  </w:abstractNum>
  <w:abstractNum w:abstractNumId="28">
    <w:lvl w:ilvl="0"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60" w:hanging="19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08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57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06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54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03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52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00" w:hanging="194"/>
      </w:pPr>
      <w:rPr>
        <w:rFonts w:ascii="Symbol" w:hAnsi="Symbol" w:cs="Symbol" w:hint="default"/>
      </w:rPr>
    </w:lvl>
  </w:abstractNum>
  <w:abstractNum w:abstractNumId="29">
    <w:lvl w:ilvl="0"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68" w:hanging="19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57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45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34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23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211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500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88" w:hanging="194"/>
      </w:pPr>
      <w:rPr>
        <w:rFonts w:ascii="Symbol" w:hAnsi="Symbol" w:cs="Symbol" w:hint="default"/>
      </w:rPr>
    </w:lvl>
  </w:abstractNum>
  <w:abstractNum w:abstractNumId="30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88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96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05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13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21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30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38" w:hanging="194"/>
      </w:pPr>
      <w:rPr>
        <w:rFonts w:ascii="Symbol" w:hAnsi="Symbol" w:cs="Symbol" w:hint="default"/>
      </w:rPr>
    </w:lvl>
  </w:abstractNum>
  <w:abstractNum w:abstractNumId="31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37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95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52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10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267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25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982" w:hanging="194"/>
      </w:pPr>
      <w:rPr>
        <w:rFonts w:ascii="Symbol" w:hAnsi="Symbol" w:cs="Symbol" w:hint="default"/>
      </w:rPr>
    </w:lvl>
  </w:abstractNum>
  <w:abstractNum w:abstractNumId="3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0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21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42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62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83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404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24" w:hanging="194"/>
      </w:pPr>
      <w:rPr>
        <w:rFonts w:ascii="Symbol" w:hAnsi="Symbol" w:cs="Symbol" w:hint="default"/>
      </w:rPr>
    </w:lvl>
  </w:abstractNum>
  <w:abstractNum w:abstractNumId="33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88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96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05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13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21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30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38" w:hanging="194"/>
      </w:pPr>
      <w:rPr>
        <w:rFonts w:ascii="Symbol" w:hAnsi="Symbol" w:cs="Symbol" w:hint="default"/>
      </w:rPr>
    </w:lvl>
  </w:abstractNum>
  <w:abstractNum w:abstractNumId="34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476" w:hanging="194"/>
      </w:pPr>
      <w:rPr>
        <w:rFonts w:ascii="Symbol" w:hAnsi="Symbol" w:cs="Symbol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63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47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31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15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98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82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66" w:hanging="194"/>
      </w:pPr>
      <w:rPr>
        <w:rFonts w:ascii="Symbol" w:hAnsi="Symbol" w:cs="Symbol" w:hint="default"/>
      </w:rPr>
    </w:lvl>
  </w:abstractNum>
  <w:abstractNum w:abstractNumId="35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77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75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72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70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67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65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6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60" w:hanging="167"/>
      </w:pPr>
      <w:rPr>
        <w:rFonts w:ascii="Symbol" w:hAnsi="Symbol" w:cs="Symbol" w:hint="default"/>
      </w:rPr>
    </w:lvl>
  </w:abstractNum>
  <w:abstractNum w:abstractNumId="36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21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63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0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47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8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30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7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14" w:hanging="167"/>
      </w:pPr>
      <w:rPr>
        <w:rFonts w:ascii="Symbol" w:hAnsi="Symbol" w:cs="Symbol" w:hint="default"/>
      </w:rPr>
    </w:lvl>
  </w:abstractNum>
  <w:abstractNum w:abstractNumId="37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88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9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0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14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823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131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440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48" w:hanging="167"/>
      </w:pPr>
      <w:rPr>
        <w:rFonts w:ascii="Symbol" w:hAnsi="Symbol" w:cs="Symbol" w:hint="default"/>
      </w:rPr>
    </w:lvl>
  </w:abstractNum>
  <w:abstractNum w:abstractNumId="38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55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30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06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81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56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932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20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83" w:hanging="167"/>
      </w:pPr>
      <w:rPr>
        <w:rFonts w:ascii="Symbol" w:hAnsi="Symbol" w:cs="Symbol" w:hint="default"/>
      </w:rPr>
    </w:lvl>
  </w:abstractNum>
  <w:abstractNum w:abstractNumId="39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77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75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72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70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67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65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6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60" w:hanging="167"/>
      </w:pPr>
      <w:rPr>
        <w:rFonts w:ascii="Symbol" w:hAnsi="Symbol" w:cs="Symbol" w:hint="default"/>
      </w:rPr>
    </w:lvl>
  </w:abstractNum>
  <w:abstractNum w:abstractNumId="40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21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63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0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47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8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30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7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14" w:hanging="167"/>
      </w:pPr>
      <w:rPr>
        <w:rFonts w:ascii="Symbol" w:hAnsi="Symbol" w:cs="Symbol" w:hint="default"/>
      </w:rPr>
    </w:lvl>
  </w:abstractNum>
  <w:abstractNum w:abstractNumId="41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88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9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0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14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823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131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440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48" w:hanging="167"/>
      </w:pPr>
      <w:rPr>
        <w:rFonts w:ascii="Symbol" w:hAnsi="Symbol" w:cs="Symbol" w:hint="default"/>
      </w:rPr>
    </w:lvl>
  </w:abstractNum>
  <w:abstractNum w:abstractNumId="42">
    <w:lvl w:ilvl="0">
      <w:numFmt w:val="bullet"/>
      <w:lvlText w:val="•"/>
      <w:lvlJc w:val="left"/>
      <w:pPr>
        <w:tabs>
          <w:tab w:val="num" w:pos="0"/>
        </w:tabs>
        <w:ind w:left="1062" w:hanging="222"/>
      </w:pPr>
      <w:rPr>
        <w:rFonts w:ascii="Century Gothic" w:hAnsi="Century Gothic" w:cs="Century Gothic" w:hint="default"/>
        <w:sz w:val="17"/>
        <w:b w:val="false"/>
        <w:szCs w:val="17"/>
        <w:bCs w:val="false"/>
        <w:w w:val="100"/>
        <w:color w:val="221F1F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1283" w:hanging="222"/>
      </w:pPr>
      <w:rPr>
        <w:rFonts w:ascii="Book Antiqua" w:hAnsi="Book Antiqua" w:cs="Book Antiqua" w:hint="default"/>
        <w:sz w:val="17"/>
        <w:b w:val="false"/>
        <w:szCs w:val="17"/>
        <w:bCs w:val="false"/>
        <w:w w:val="155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73" w:hanging="222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466" w:hanging="222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060" w:hanging="222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653" w:hanging="222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246" w:hanging="222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840" w:hanging="222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33" w:hanging="222"/>
      </w:pPr>
      <w:rPr>
        <w:rFonts w:ascii="Symbol" w:hAnsi="Symbol" w:cs="Symbol" w:hint="default"/>
      </w:rPr>
    </w:lvl>
  </w:abstractNum>
  <w:abstractNum w:abstractNumId="4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476" w:hanging="194"/>
      </w:pPr>
      <w:rPr>
        <w:rFonts w:ascii="Calibri" w:hAnsi="Calibri" w:cs="Calibri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63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47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31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15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98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82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66" w:hanging="194"/>
      </w:pPr>
      <w:rPr>
        <w:rFonts w:ascii="Symbol" w:hAnsi="Symbol" w:cs="Symbol" w:hint="default"/>
      </w:rPr>
    </w:lvl>
  </w:abstractNum>
  <w:abstractNum w:abstractNumId="45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476" w:hanging="194"/>
      </w:pPr>
      <w:rPr>
        <w:rFonts w:ascii="Calibri" w:hAnsi="Calibri" w:cs="Calibri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63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47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31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15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98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82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66" w:hanging="194"/>
      </w:pPr>
      <w:rPr>
        <w:rFonts w:ascii="Symbol" w:hAnsi="Symbol" w:cs="Symbol" w:hint="default"/>
      </w:rPr>
    </w:lvl>
  </w:abstractNum>
  <w:abstractNum w:abstractNumId="4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HelveticaNeueLT Pro 55 Roman" w:hAnsi="HelveticaNeueLT Pro 55 Roman" w:eastAsia="" w:cs="HelveticaNeueLT Pro 55 Roman" w:eastAsiaTheme="minorEastAsia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Heading1Char"/>
    <w:uiPriority w:val="1"/>
    <w:qFormat/>
    <w:pPr>
      <w:spacing w:before="69" w:after="0"/>
      <w:ind w:left="1052" w:hanging="0"/>
      <w:outlineLvl w:val="0"/>
    </w:pPr>
    <w:rPr>
      <w:rFonts w:ascii="Bookman Old Style" w:hAnsi="Bookman Old Style" w:cs="Bookman Old Style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rPr>
      <w:rFonts w:ascii="HelveticaNeueLT Pro 55 Roman" w:hAnsi="HelveticaNeueLT Pro 55 Roman" w:cs="HelveticaNeueLT Pro 55 Roman"/>
      <w:sz w:val="24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qFormat/>
    <w:rPr>
      <w:rFonts w:ascii="Calibri Light" w:hAnsi="Calibri Light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4c41f6"/>
    <w:rPr>
      <w:rFonts w:ascii="HelveticaNeueLT Pro 55 Roman" w:hAnsi="HelveticaNeueLT Pro 55 Roman" w:cs="HelveticaNeueLT Pro 55 Roman"/>
      <w:sz w:val="24"/>
      <w:szCs w:val="24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4c41f6"/>
    <w:rPr>
      <w:rFonts w:ascii="HelveticaNeueLT Pro 55 Roman" w:hAnsi="HelveticaNeueLT Pro 55 Roman" w:cs="HelveticaNeueLT Pro 55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326ad8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sid w:val="00325b71"/>
    <w:rPr>
      <w:color w:val="808080"/>
    </w:rPr>
  </w:style>
  <w:style w:type="character" w:styleId="StopkaScZnak" w:customStyle="1">
    <w:name w:val="stopka_Sc Znak"/>
    <w:basedOn w:val="FooterChar"/>
    <w:link w:val="stopkaSc"/>
    <w:qFormat/>
    <w:rsid w:val="00be187c"/>
    <w:rPr>
      <w:rFonts w:ascii="HelveticaNeueLT Pro 55 Roman" w:hAnsi="HelveticaNeueLT Pro 55 Roman" w:eastAsia="Calibri" w:cs="Times New Roman" w:eastAsiaTheme="minorHAnsi"/>
      <w:sz w:val="16"/>
      <w:szCs w:val="16"/>
      <w:lang w:val="en-US"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BodyTextChar"/>
    <w:uiPriority w:val="1"/>
    <w:qFormat/>
    <w:pPr/>
    <w:rPr>
      <w:rFonts w:ascii="Book Antiqua" w:hAnsi="Book Antiqua" w:cs="Book Antiqua"/>
      <w:sz w:val="17"/>
      <w:szCs w:val="17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spacing w:before="5" w:after="0"/>
      <w:ind w:left="1062" w:hanging="221"/>
    </w:pPr>
    <w:rPr>
      <w:rFonts w:ascii="Book Antiqua" w:hAnsi="Book Antiqua" w:cs="Book Antiqua"/>
    </w:rPr>
  </w:style>
  <w:style w:type="paragraph" w:styleId="TableParagraph" w:customStyle="1">
    <w:name w:val="Table Paragraph"/>
    <w:basedOn w:val="Normal"/>
    <w:uiPriority w:val="1"/>
    <w:qFormat/>
    <w:pPr>
      <w:ind w:left="282" w:hanging="166"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HeaderChar"/>
    <w:uiPriority w:val="99"/>
    <w:unhideWhenUsed/>
    <w:rsid w:val="004c41f6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Stopka">
    <w:name w:val="Footer"/>
    <w:basedOn w:val="Normal"/>
    <w:link w:val="FooterChar"/>
    <w:uiPriority w:val="99"/>
    <w:unhideWhenUsed/>
    <w:rsid w:val="004c41f6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26ad8"/>
    <w:pPr/>
    <w:rPr>
      <w:rFonts w:ascii="Segoe UI" w:hAnsi="Segoe UI" w:cs="Segoe UI"/>
      <w:sz w:val="18"/>
      <w:szCs w:val="18"/>
    </w:rPr>
  </w:style>
  <w:style w:type="paragraph" w:styleId="StopkaSc" w:customStyle="1">
    <w:name w:val="stopka_Sc"/>
    <w:basedOn w:val="Stopka"/>
    <w:link w:val="stopkaScZnak"/>
    <w:qFormat/>
    <w:rsid w:val="00be187c"/>
    <w:pPr>
      <w:widowControl/>
      <w:tabs>
        <w:tab w:val="clear" w:pos="4513"/>
        <w:tab w:val="clear" w:pos="9026"/>
        <w:tab w:val="center" w:pos="4536" w:leader="none"/>
        <w:tab w:val="right" w:pos="9072" w:leader="none"/>
      </w:tabs>
    </w:pPr>
    <w:rPr>
      <w:rFonts w:eastAsia="Calibri" w:cs="Times New Roman" w:eastAsiaTheme="minorHAnsi"/>
      <w:sz w:val="16"/>
      <w:szCs w:val="16"/>
      <w:lang w:val="en-US" w:eastAsia="en-US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footer" Target="footer1.xml"/><Relationship Id="rId7" Type="http://schemas.openxmlformats.org/officeDocument/2006/relationships/theme" Target="theme/theme1.xml"/><Relationship Id="rId2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settings" Target="settings.xml"/><Relationship Id="rId11" Type="http://schemas.openxmlformats.org/officeDocument/2006/relationships/customXml" Target="../customXml/item4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20A3AC4654554E817425738F4C93B5" ma:contentTypeVersion="17" ma:contentTypeDescription="Utwórz nowy dokument." ma:contentTypeScope="" ma:versionID="33cd9a76bdbcbf31a13a766cfbb4e70e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5915a003b3e142f72ae816ee56e92677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F39652CD-80CA-4194-A45D-CF84507DD2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3F019B-A6E6-4E5C-8AEF-3F617E4D313B}"/>
</file>

<file path=customXml/itemProps3.xml><?xml version="1.0" encoding="utf-8"?>
<ds:datastoreItem xmlns:ds="http://schemas.openxmlformats.org/officeDocument/2006/customXml" ds:itemID="{3722E311-9044-405B-93EE-0780CAE92D36}"/>
</file>

<file path=customXml/itemProps4.xml><?xml version="1.0" encoding="utf-8"?>
<ds:datastoreItem xmlns:ds="http://schemas.openxmlformats.org/officeDocument/2006/customXml" ds:itemID="{F7202A8A-AA4F-4BF4-BCC9-7B23DC09B3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Application>LibreOffice/7.2.0.4$Windows_X86_64 LibreOffice_project/9a9c6381e3f7a62afc1329bd359cc48accb6435b</Application>
  <AppVersion>15.0000</AppVersion>
  <Pages>10</Pages>
  <Words>4872</Words>
  <Characters>31437</Characters>
  <CharactersWithSpaces>35648</CharactersWithSpaces>
  <Paragraphs>375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066407 OF1 KN_PSO_ZP</dc:title>
  <dc:subject/>
  <dc:creator>d.okulewicz</dc:creator>
  <dc:description/>
  <cp:lastModifiedBy/>
  <cp:revision>10</cp:revision>
  <dcterms:created xsi:type="dcterms:W3CDTF">2019-07-27T17:45:00Z</dcterms:created>
  <dcterms:modified xsi:type="dcterms:W3CDTF">2022-09-01T15:25:05Z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2.1.2.0</vt:lpwstr>
  </property>
  <property fmtid="{D5CDD505-2E9C-101B-9397-08002B2CF9AE}" pid="3" name="ContentTypeId">
    <vt:lpwstr>0x010100CD20A3AC4654554E817425738F4C93B5</vt:lpwstr>
  </property>
</Properties>
</file>