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 w:eastAsia="HelveticaNeueLTPro-Bd" w:cs="Calibri"/>
          <w:b/>
          <w:b/>
        </w:rPr>
      </w:pPr>
      <w:r>
        <w:rPr>
          <w:rFonts w:eastAsia="HelveticaNeueLTPro-Bd" w:cs="Calibri" w:ascii="Calibri" w:hAnsi="Calibri"/>
          <w:b/>
        </w:rPr>
        <w:t>Wymagania edukacyjne z biologii dla klasy pierwszej szkoły ponadpodstawowej</w:t>
      </w:r>
    </w:p>
    <w:p>
      <w:pPr>
        <w:pStyle w:val="Normal"/>
        <w:rPr>
          <w:rFonts w:ascii="Calibri" w:hAnsi="Calibri" w:eastAsia="HelveticaNeueLTPro-Bd" w:cs="Calibri"/>
          <w:b/>
          <w:b/>
        </w:rPr>
      </w:pPr>
      <w:r>
        <w:rPr>
          <w:rFonts w:eastAsia="HelveticaNeueLTPro-Bd" w:cs="Calibri" w:ascii="Calibri" w:hAnsi="Calibri"/>
          <w:b/>
        </w:rPr>
        <w:t xml:space="preserve">dla zakresu rozszerzonego </w:t>
      </w:r>
    </w:p>
    <w:tbl>
      <w:tblPr>
        <w:tblStyle w:val="Tabela-Siatka"/>
        <w:tblW w:w="139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1"/>
        <w:gridCol w:w="1674"/>
        <w:gridCol w:w="2267"/>
        <w:gridCol w:w="2410"/>
        <w:gridCol w:w="2411"/>
        <w:gridCol w:w="2267"/>
        <w:gridCol w:w="2233"/>
      </w:tblGrid>
      <w:tr>
        <w:trPr>
          <w:trHeight w:val="324" w:hRule="atLeast"/>
        </w:trPr>
        <w:tc>
          <w:tcPr>
            <w:tcW w:w="731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cs="Calibri"/>
                <w:b/>
                <w:b/>
                <w:color w:val="70AD47"/>
                <w:sz w:val="20"/>
                <w:szCs w:val="20"/>
              </w:rPr>
            </w:pPr>
            <w:r>
              <w:rPr>
                <w:rFonts w:cs="Calibri"/>
                <w:b/>
                <w:color w:val="70AD47"/>
                <w:kern w:val="0"/>
                <w:sz w:val="20"/>
                <w:szCs w:val="20"/>
                <w:lang w:bidi="ar-SA"/>
              </w:rPr>
              <w:t>Nr lekcji</w:t>
            </w:r>
          </w:p>
        </w:tc>
        <w:tc>
          <w:tcPr>
            <w:tcW w:w="167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cs="Calibri"/>
                <w:b/>
                <w:b/>
                <w:color w:val="70AD47"/>
                <w:sz w:val="20"/>
                <w:szCs w:val="20"/>
              </w:rPr>
            </w:pPr>
            <w:r>
              <w:rPr>
                <w:rFonts w:cs="Calibri"/>
                <w:b/>
                <w:color w:val="70AD47"/>
                <w:kern w:val="0"/>
                <w:sz w:val="20"/>
                <w:szCs w:val="20"/>
                <w:lang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cs="Calibri"/>
                <w:b/>
                <w:b/>
                <w:color w:val="70AD47"/>
                <w:sz w:val="20"/>
                <w:szCs w:val="20"/>
              </w:rPr>
            </w:pPr>
            <w:r>
              <w:rPr>
                <w:rFonts w:cs="Calibri"/>
                <w:b/>
                <w:color w:val="70AD47"/>
                <w:kern w:val="0"/>
                <w:sz w:val="20"/>
                <w:szCs w:val="20"/>
                <w:lang w:bidi="ar-SA"/>
              </w:rPr>
              <w:t>Temat</w:t>
            </w:r>
          </w:p>
        </w:tc>
        <w:tc>
          <w:tcPr>
            <w:tcW w:w="11588" w:type="dxa"/>
            <w:gridSpan w:val="5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cs="Calibri"/>
                <w:b/>
                <w:b/>
                <w:color w:val="70AD47"/>
                <w:sz w:val="20"/>
                <w:szCs w:val="20"/>
              </w:rPr>
            </w:pPr>
            <w:r>
              <w:rPr>
                <w:rFonts w:cs="Calibri"/>
                <w:b/>
                <w:color w:val="70AD47"/>
                <w:kern w:val="0"/>
                <w:sz w:val="20"/>
                <w:szCs w:val="20"/>
                <w:lang w:bidi="ar-SA"/>
              </w:rPr>
              <w:t>Poziom wymagań</w:t>
            </w:r>
          </w:p>
        </w:tc>
      </w:tr>
      <w:tr>
        <w:trPr>
          <w:trHeight w:val="264" w:hRule="atLeast"/>
        </w:trPr>
        <w:tc>
          <w:tcPr>
            <w:tcW w:w="73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b/>
                <w:b/>
                <w:color w:val="70AD47"/>
                <w:sz w:val="20"/>
                <w:szCs w:val="20"/>
              </w:rPr>
            </w:pPr>
            <w:r>
              <w:rPr>
                <w:rFonts w:cs="Calibri"/>
                <w:b/>
                <w:color w:val="70AD47"/>
                <w:kern w:val="0"/>
                <w:sz w:val="20"/>
                <w:szCs w:val="20"/>
                <w:lang w:bidi="ar-SA"/>
              </w:rPr>
            </w:r>
          </w:p>
        </w:tc>
        <w:tc>
          <w:tcPr>
            <w:tcW w:w="167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b/>
                <w:b/>
                <w:color w:val="70AD47"/>
                <w:sz w:val="20"/>
                <w:szCs w:val="20"/>
              </w:rPr>
            </w:pPr>
            <w:r>
              <w:rPr>
                <w:rFonts w:cs="Calibri"/>
                <w:b/>
                <w:color w:val="70AD47"/>
                <w:kern w:val="0"/>
                <w:sz w:val="20"/>
                <w:szCs w:val="20"/>
                <w:lang w:bidi="ar-SA"/>
              </w:rPr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cs="Calibri"/>
                <w:b/>
                <w:b/>
                <w:color w:val="70AD47"/>
                <w:sz w:val="20"/>
                <w:szCs w:val="20"/>
              </w:rPr>
            </w:pPr>
            <w:r>
              <w:rPr>
                <w:rFonts w:cs="Calibri"/>
                <w:b/>
                <w:color w:val="70AD47"/>
                <w:kern w:val="0"/>
                <w:sz w:val="20"/>
                <w:szCs w:val="20"/>
                <w:lang w:bidi="ar-SA"/>
              </w:rPr>
              <w:t>ocena dopuszczająca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cs="Calibri"/>
                <w:b/>
                <w:b/>
                <w:color w:val="70AD47"/>
                <w:sz w:val="20"/>
                <w:szCs w:val="20"/>
              </w:rPr>
            </w:pPr>
            <w:r>
              <w:rPr>
                <w:rFonts w:cs="Calibri"/>
                <w:b/>
                <w:color w:val="70AD47"/>
                <w:kern w:val="0"/>
                <w:sz w:val="20"/>
                <w:szCs w:val="20"/>
                <w:lang w:bidi="ar-SA"/>
              </w:rPr>
              <w:t>ocena dostateczna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cs="Calibri"/>
                <w:b/>
                <w:b/>
                <w:color w:val="70AD47"/>
                <w:sz w:val="20"/>
                <w:szCs w:val="20"/>
              </w:rPr>
            </w:pPr>
            <w:r>
              <w:rPr>
                <w:rFonts w:cs="Calibri"/>
                <w:b/>
                <w:color w:val="70AD47"/>
                <w:kern w:val="0"/>
                <w:sz w:val="20"/>
                <w:szCs w:val="20"/>
                <w:lang w:bidi="ar-SA"/>
              </w:rPr>
              <w:t>ocena dobra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cs="Calibri"/>
                <w:b/>
                <w:b/>
                <w:color w:val="70AD47"/>
                <w:sz w:val="20"/>
                <w:szCs w:val="20"/>
              </w:rPr>
            </w:pPr>
            <w:r>
              <w:rPr>
                <w:rFonts w:cs="Calibri"/>
                <w:b/>
                <w:color w:val="70AD47"/>
                <w:kern w:val="0"/>
                <w:sz w:val="20"/>
                <w:szCs w:val="20"/>
                <w:lang w:bidi="ar-SA"/>
              </w:rPr>
              <w:t>ocena bardzo dobra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cs="Calibri"/>
                <w:b/>
                <w:b/>
                <w:color w:val="70AD47"/>
                <w:sz w:val="20"/>
                <w:szCs w:val="20"/>
              </w:rPr>
            </w:pPr>
            <w:r>
              <w:rPr>
                <w:rFonts w:cs="Calibri"/>
                <w:b/>
                <w:color w:val="70AD47"/>
                <w:kern w:val="0"/>
                <w:sz w:val="20"/>
                <w:szCs w:val="20"/>
                <w:lang w:bidi="ar-SA"/>
              </w:rPr>
              <w:t>ocena celująca</w:t>
            </w:r>
          </w:p>
        </w:tc>
      </w:tr>
      <w:tr>
        <w:trPr/>
        <w:tc>
          <w:tcPr>
            <w:tcW w:w="13993" w:type="dxa"/>
            <w:gridSpan w:val="7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b/>
                <w:b/>
                <w:sz w:val="20"/>
                <w:szCs w:val="20"/>
              </w:rPr>
            </w:pPr>
            <w:r>
              <w:rPr>
                <w:rFonts w:cs="Calibri"/>
                <w:b/>
                <w:kern w:val="0"/>
                <w:sz w:val="20"/>
                <w:szCs w:val="20"/>
                <w:lang w:bidi="ar-SA"/>
              </w:rPr>
              <w:t>I. Badania przyrodnicze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>1.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cs="Calibri"/>
                <w:b/>
                <w:b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>2.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/>
                <w:b/>
                <w:kern w:val="0"/>
                <w:sz w:val="20"/>
                <w:szCs w:val="20"/>
                <w:lang w:bidi="ar-SA"/>
              </w:rPr>
              <w:t>Metodyka badań biologicznych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i/>
                <w:iCs/>
                <w:kern w:val="0"/>
                <w:sz w:val="20"/>
                <w:szCs w:val="20"/>
                <w:lang w:bidi="ar-SA"/>
              </w:rPr>
              <w:t>Uczeń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rozróżnia metody poznawania świata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wymienia etapy badań biologicznych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określa problem badawczy, hipotezę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rozróżnia próbę kontrolną od próby badawczej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wskazuje sposób prowadzenia dokumentacji doświadczenia i obserwacji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wykorzystuje różnorodne źródła i metody pozyskiwania informacji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odróżnia wiedzę potoczną od wiedzy uzyskanej metodami naukowymi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i/>
                <w:iCs/>
                <w:kern w:val="0"/>
                <w:sz w:val="20"/>
                <w:szCs w:val="20"/>
                <w:lang w:bidi="ar-SA"/>
              </w:rPr>
              <w:t>Uczeń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wyjaśnia, na czym polega różnica między obserwacją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>a doświadczeniem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rozróżnia problem badawczy od hipotezy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dokumentuje obserwacje i proste doświadczenia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odczytuje, analizuje, interpretuje oraz przetwarza informacje tekstowe, graficzne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>i liczbowe w typowych sytuacjach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b/>
                <w:b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odróżnia fakty od opinii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i/>
                <w:iCs/>
                <w:kern w:val="0"/>
                <w:sz w:val="20"/>
                <w:szCs w:val="20"/>
                <w:lang w:bidi="ar-SA"/>
              </w:rPr>
              <w:t>Uczeń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omawia zasady prowadzenia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>i dokumentowania badań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określa główne etapy badań do konkretnych obserwacji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>i doświadczeń biologicznych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planuje przykładową obserwację biologiczną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wykonuje dokumentację przykładowej obserwacji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odróżnia zmienną niezależną od zmiennej zależnej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objaśnia i komentuje informacje, posługując się terminologią biologiczną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i/>
                <w:iCs/>
                <w:kern w:val="0"/>
                <w:sz w:val="20"/>
                <w:szCs w:val="20"/>
                <w:lang w:bidi="ar-SA"/>
              </w:rPr>
              <w:t>Uczeń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analizuje kolejne etapy prowadzenia badań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odnosi się do wyników uzyskanych przez innych badaczy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ocenia poprawność zastosowanych procedur badawczych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b/>
                <w:b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formułuje wnioski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i/>
                <w:iCs/>
                <w:kern w:val="0"/>
                <w:sz w:val="20"/>
                <w:szCs w:val="20"/>
                <w:lang w:bidi="ar-SA"/>
              </w:rPr>
              <w:t>Uczeń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właściwie planuje obserwacje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>i doświadczenia oraz interpretuje ich wyniki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odnosi się krytycznie do informacji pozyskanych z różnych źródeł, w tym internetowych</w:t>
            </w:r>
            <w:bookmarkStart w:id="0" w:name="_GoBack"/>
            <w:bookmarkEnd w:id="0"/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>3.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cs="Calibri"/>
                <w:b/>
                <w:b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>4.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/>
                <w:b/>
                <w:kern w:val="0"/>
                <w:sz w:val="20"/>
                <w:szCs w:val="20"/>
                <w:lang w:bidi="ar-SA"/>
              </w:rPr>
              <w:t>Obserwacje mikroskopowe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podaje nazwy elementów układu optycznego i układu mechanicznego mikroskopu optycznego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wymienia cechy obrazu oglądanego w mikroskopie optycznym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obserwuje pod mikroskopem gotowe preparaty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oblicza powiększenie mikroskopu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wyjaśnia pojęcie </w:t>
            </w:r>
            <w:r>
              <w:rPr>
                <w:rFonts w:cs="Calibri"/>
                <w:i/>
                <w:iCs/>
                <w:kern w:val="0"/>
                <w:sz w:val="20"/>
                <w:szCs w:val="20"/>
                <w:lang w:bidi="ar-SA"/>
              </w:rPr>
              <w:t>zdolność rozdzielcza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wyjaśnia sposób działania mikroskopów optycznego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b/>
                <w:b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>i elektronowego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porównuje działanie mikroskopu optycznego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>i mikroskopu elektronowego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wymienia zalety i wady mikroskopów optycznych oraz elektronowych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i/>
                <w:i/>
                <w:iCs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stosuje pojęcie </w:t>
            </w:r>
            <w:r>
              <w:rPr>
                <w:rFonts w:cs="Calibri"/>
                <w:i/>
                <w:iCs/>
                <w:kern w:val="0"/>
                <w:sz w:val="20"/>
                <w:szCs w:val="20"/>
                <w:lang w:bidi="ar-SA"/>
              </w:rPr>
              <w:t xml:space="preserve">zdolność rozdzielcza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przy opisie</w:t>
            </w:r>
            <w:r>
              <w:rPr>
                <w:rFonts w:cs="Calibri"/>
                <w:i/>
                <w:iCs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działania mikroskopów</w:t>
            </w:r>
            <w:r>
              <w:rPr>
                <w:rFonts w:cs="Calibri"/>
                <w:i/>
                <w:iCs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różnych typów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określa zasadę działania mikroskopu fluorescencyjnego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wyjaśnia różnicę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>w sposobie działania mikroskopów elektronowych: transmisyjnym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>i skaningowym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wykonuje samodzielnie preparaty mikroskopowe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/>
                <w:kern w:val="0"/>
                <w:sz w:val="20"/>
                <w:szCs w:val="20"/>
                <w:lang w:bidi="ar-SA"/>
              </w:rPr>
              <w:t>na podstawie różnych zdjęć zamieszczonych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>w literaturze popularnonaukowej wskazuje, za pomocą jakiego mikroskopu uzyskano przedstawiony obraz i uzasadnia swój wybór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  <w:lang w:bidi="ar-SA"/>
              </w:rPr>
              <w:t>5.</w:t>
            </w:r>
          </w:p>
        </w:tc>
        <w:tc>
          <w:tcPr>
            <w:tcW w:w="13262" w:type="dxa"/>
            <w:gridSpan w:val="6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/>
                <w:b/>
                <w:kern w:val="0"/>
                <w:sz w:val="20"/>
                <w:szCs w:val="20"/>
                <w:lang w:bidi="ar-SA"/>
              </w:rPr>
              <w:t>Powtórzenie i sprawdzenie stopnia opanowania wiadomości i umiejętności</w:t>
            </w:r>
          </w:p>
        </w:tc>
      </w:tr>
      <w:tr>
        <w:trPr/>
        <w:tc>
          <w:tcPr>
            <w:tcW w:w="13993" w:type="dxa"/>
            <w:gridSpan w:val="7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/>
                <w:b/>
                <w:b/>
                <w:sz w:val="20"/>
                <w:szCs w:val="20"/>
              </w:rPr>
            </w:pPr>
            <w:r>
              <w:rPr>
                <w:rFonts w:cs="Calibri"/>
                <w:b/>
                <w:kern w:val="0"/>
                <w:sz w:val="20"/>
                <w:szCs w:val="20"/>
                <w:lang w:bidi="ar-SA"/>
              </w:rPr>
              <w:t>II. Chemiczne podstawy życia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6.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7.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8.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Skład chemiczny organizmów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klasyfikuje związki chemiczne na organiczne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nieorganiczne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związki budujące organizm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klasyfikuje pierwiastki na makroelementy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mikroelementy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pierwiastki biogenne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wiązania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oddziaływania chemiczne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funkcje wody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podaje właściwości fizykochemiczne wody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funkcje soli mineralnych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omawia znaczenie wybranych makro-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mikroelementów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wyjaśnia pojęcie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pierwiastki biogenne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określa znaczenie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występowanie wybranych typów wiązań i oddziaływań chemicznych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wskazuje substancje hydrofilowe i hydrofobowe oraz określa ich właściwości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budowę cząsteczki wody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określa, za jakie właściwości wody odpowiadają wskazane zjawiska, np. unoszenie się lodu na powierzchni wody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budowę różnych typów wiązań chemicznych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właściwości fizykochemiczne wody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uzasadnia znaczenie soli mineralnych dla organizmów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rysuje modele różnych typów wiązań chemicznych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wykazuje związek między budową cząsteczki wody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właściwościami a jej rolą w organizmie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przeprowadza proste doświadczenia dotyczące właściwości wody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przeprowadza samodzielnie doświadczenia dotyczące zmian napięcia powierzchniowego wody oraz właściwie interpretuje wyniki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wskazuje i wyjaśnia sposób oddziaływań między cząsteczkami na funkcjonowanie organizmów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9.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10.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11.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eastAsia="HelveticaNeueLTPro-Bd" w:cs="Calibri Light"/>
                <w:sz w:val="20"/>
                <w:szCs w:val="20"/>
              </w:rPr>
            </w:pPr>
            <w:r>
              <w:rPr>
                <w:rFonts w:eastAsia="HelveticaNeueLTPro-Bd" w:cs="Calibri Light" w:ascii="Calibri Light" w:hAnsi="Calibri Light"/>
                <w:kern w:val="0"/>
                <w:sz w:val="20"/>
                <w:szCs w:val="20"/>
                <w:lang w:bidi="ar-SA"/>
              </w:rPr>
              <w:t>Budowa i funkcje sacharydów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klasyfikuje sacharydy na monosacharydy, disacharydy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i polisacharydy oraz podaje nazwy ich przedstawicieli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wymienia właściwości mono-, oligoi polisacharydów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określa kryterium klasyfikacji sacharydów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wyjaśnia, w jaki sposób powstaje wiązanie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O-glikozydowe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omawia występowanie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i znaczenie wybranych mono-, oligoi polisacharydów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określa, w jaki sposób powstają formy pierścieniowe monosacharydów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wskazuje sposoby wykrywania glukozy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i skrobi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wskazuje różnice między poszczególnymi monosacharydami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charakteryzuje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i porównuje budowę wybranych polisacharydów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porównuje budowę chemiczną mono-,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oligo- i polisacharydów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planuje doświadczenie mające na celu wykrycie glukozy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planuje i przeprowadza doświadczenie pozwalające wykryć glukozę w soku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z winogron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omawia powstawanie form pierścieniowych monosacharydów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ilustruje powstawanie wiązania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O-glikozydowego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zapisuje wzory wybranych węglowodanów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planuje doświadczenie mające na celu wykrycie glukozy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 materiale biologicznym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planuje i przeprowadza doświadczenie pozwalające wykryć dowolny dwucukier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wyjaśnia przy pomocy samodzielnie zapisanych reakcji chemicznych właściwości redukujące glukozy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wyjaśnia, dlaczego skrobia i celuloza mają odmienne funkcje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 organizmie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12.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13.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14.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eastAsia="HelveticaNeueLTPro-Bd" w:cs="Calibri Light"/>
                <w:sz w:val="20"/>
                <w:szCs w:val="20"/>
              </w:rPr>
            </w:pPr>
            <w:r>
              <w:rPr>
                <w:rFonts w:eastAsia="HelveticaNeueLTPro-Bd" w:cs="Calibri Light" w:ascii="Calibri Light" w:hAnsi="Calibri Light"/>
                <w:kern w:val="0"/>
                <w:sz w:val="20"/>
                <w:szCs w:val="20"/>
                <w:lang w:bidi="ar-SA"/>
              </w:rPr>
              <w:t>Budowa i funkcje lipidów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klasyfikuje lipidy ze względu na budowę cząsteczek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podaje podstawowe funkcje lipidów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podaje podstawowe znaczenie lipidów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wskazuje znaczenie cholesterolu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podaje nazwę odczynnika służącego do wykrywania lipidów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wyjaśnia, na czym polega różnica między tłuszczami nasyconymi a tłuszczami nienasyconymi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wymienia kryteria klasyfikacji lipidów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omawia budowę trójglicerydu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omawia budowę fosfolipidów i ich rozmieszczenie w błonie komórkowej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charakteryzuje budowę lipidów prostych, złożonych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i izoprenowych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wyjaśnia znaczeniecholesterolu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planuje doświadczenie, którego celem jest wykrycie lipidów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 nasionach słonecznika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wskazuje związek między obecnością wiązań podwójnych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 kwasach tłuszczowych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a właściwościami lipidów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porównuje poszczególne grupy lipidów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omawia budowę fosfolipidów i ich rozmieszczenie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 błonie biologicznej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analizuje budowę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triglicerydu i fosfolipidu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i je porównuje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wyjaśnia znaczenie karotenoidów dla roślin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wyjaśnia związek między budową poszczególnych lipidów a funkcjami, jakie pełnią w organizmach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15.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16.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17.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eastAsia="HelveticaNeueLTPro-Bd" w:cs="Calibri Light"/>
                <w:sz w:val="20"/>
                <w:szCs w:val="20"/>
              </w:rPr>
            </w:pPr>
            <w:r>
              <w:rPr>
                <w:rFonts w:eastAsia="HelveticaNeueLTPro-Bd" w:cs="Calibri Light" w:ascii="Calibri Light" w:hAnsi="Calibri Light"/>
                <w:kern w:val="0"/>
                <w:sz w:val="20"/>
                <w:szCs w:val="20"/>
                <w:lang w:bidi="ar-SA"/>
              </w:rPr>
              <w:t>Aminokwasy.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eastAsia="HelveticaNeueLTPro-Bd" w:cs="Calibri Light"/>
                <w:sz w:val="20"/>
                <w:szCs w:val="20"/>
              </w:rPr>
            </w:pPr>
            <w:r>
              <w:rPr>
                <w:rFonts w:eastAsia="HelveticaNeueLTPro-Bd" w:cs="Calibri Light" w:ascii="Calibri Light" w:hAnsi="Calibri Light"/>
                <w:kern w:val="0"/>
                <w:sz w:val="20"/>
                <w:szCs w:val="20"/>
                <w:lang w:bidi="ar-SA"/>
              </w:rPr>
              <w:t>Budowa i funkcje białek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wymienia różne rodzaje aminokwasów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przedstawia budowę aminokwasów białkowych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podaje nazwę wiązania między aminokwasami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wymienia poziomy organizacji białek – strukturę przestrzenną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podaje nazwy grup białek ze względu na pełnione funkcje, liczbę aminokwasów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 łańcuchu, strukturę oraz obecność elementów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nieaminokwasowych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wymienia przykładowe białka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i ich funkcje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omawia budowę białek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wymienia podstawowe właściwości białek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i/>
                <w:i/>
                <w:iCs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wyjaśnia pojęcia: </w:t>
            </w:r>
            <w:r>
              <w:rPr>
                <w:rFonts w:cs="Calibri Light" w:ascii="Calibri Light" w:hAnsi="Calibri Light"/>
                <w:i/>
                <w:iCs/>
                <w:kern w:val="0"/>
                <w:sz w:val="20"/>
                <w:szCs w:val="20"/>
                <w:lang w:bidi="ar-SA"/>
              </w:rPr>
              <w:t>koagulacja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i/>
                <w:i/>
                <w:iCs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i </w:t>
            </w:r>
            <w:r>
              <w:rPr>
                <w:rFonts w:cs="Calibri Light" w:ascii="Calibri Light" w:hAnsi="Calibri Light"/>
                <w:i/>
                <w:iCs/>
                <w:kern w:val="0"/>
                <w:sz w:val="20"/>
                <w:szCs w:val="20"/>
                <w:lang w:bidi="ar-SA"/>
              </w:rPr>
              <w:t>denaturacja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wymienia czynniki wywołujące denaturację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opisuje doświadczenie wpływu jednego z czynników fizykochemicznych na białko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podaje kryteria klasyfikacji białek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wskazuje wiązanie peptydowe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wyjaśnia, na czym polega i w jakich warunkach zachodzą koagulacja i denaturacja białek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podaje wpływ wybranych czynników fizykochemicznych na białka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charakteryzuje struktury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I, II-, III- i IV-rzędową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zapisuje wzór ogólny aminokwasów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klasyfikuje białka ze względu na funkcje pełnione w organizmie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opisuje reakcje biuretową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i ksantoproteinową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charakteryzuje grupy białek ze względu na pełnione funkcje, liczbę aminokwasów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 łańcuchu i strukturę oraz obecność elementów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nieaminokwasowych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zapisuje reakcję powstawania dipeptydu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wyjaśnia znaczenie struktur I-, II-, IIIi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IV-rzędowej białek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wyjaśnia znaczenie oddziaływań w strukturach III i IV-rzędowej białka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charakteryzuje białka proste i złożone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wyjaśnia, na czym polega reakcja biuretowa i reakcja ksantoproteinowa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porównuje białka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fibrylarne i globularne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porównuje proces koagulacji i denaturacji białek oraz wskazuje ich znaczenie dla organizmów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planuje doświadczenie mające na celu wykrycie wiązań peptydowych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przeprowadza doświadczenie dotyczące wpływu różnych czynników fizykochemicznych na białko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wyjaśnia, czym różnią się reakcje ksantoproteinowa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i biuretowa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zapisuje sekwencję aminokwasów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 tripeptydzie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wykazuje związek budowy białek z ich funkcjami w organizmie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przeprowadza doświadczenie wpływu różnych substancji na właściwości białek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18.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19.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eastAsia="HelveticaNeueLTPro-Bd" w:cs="Calibri Light"/>
                <w:sz w:val="20"/>
                <w:szCs w:val="20"/>
              </w:rPr>
            </w:pPr>
            <w:r>
              <w:rPr>
                <w:rFonts w:eastAsia="HelveticaNeueLTPro-Bd" w:cs="Calibri Light" w:ascii="Calibri Light" w:hAnsi="Calibri Light"/>
                <w:kern w:val="0"/>
                <w:sz w:val="20"/>
                <w:szCs w:val="20"/>
                <w:lang w:bidi="ar-SA"/>
              </w:rPr>
              <w:t>Budowa i funkcje nukleotydów oraz kwasów nukleinowych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charakteryzuje budowę pojedynczego nukleotydu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DNA i RNA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przedstawia rolę DNA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wymienia wiązania występujące w DNA i RNA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wymienia rodzaje RNA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i określa ich rolę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określa lokalizację DNA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 komórkach eukariotycznych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i prokariotycznych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wyjaśnia, na czym polega komplementarność zasad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przedstawia rodzaje nukleotydów i ich rolę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wymienia dinukleotydy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i ich rolę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wymienia i wskazuje wiązania w cząsteczce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DNA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wyjaśnia pojęcie </w:t>
            </w:r>
            <w:r>
              <w:rPr>
                <w:rFonts w:cs="Calibri Light" w:ascii="Calibri Light" w:hAnsi="Calibri Light"/>
                <w:i/>
                <w:iCs/>
                <w:kern w:val="0"/>
                <w:sz w:val="20"/>
                <w:szCs w:val="20"/>
                <w:lang w:bidi="ar-SA"/>
              </w:rPr>
              <w:t>podwójna helisa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charakteryzuje budowę chemiczną i budowę przestrzenną cząsteczek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DNA i RNA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porównuje budowę i rolę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DNA z budową i rolą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RNA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przedstawia proces replikacji DNA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rysuje schemat budowy nukleotydów DNA i RNA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rozróżnia zasady azotowe na podstawie wzorów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oblicza procentową zawartość zasad azotowych w DNA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wykazuje związek replikacji z podziałem komórki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wyjaśnia związek sekwencji DNA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z pierwszorzędową strukturą białek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rozwiązuje zadania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o wyższym stopniu trudności dotyczące zawartości zasad azotowych w cząsteczce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DNA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20.</w:t>
            </w:r>
          </w:p>
        </w:tc>
        <w:tc>
          <w:tcPr>
            <w:tcW w:w="13262" w:type="dxa"/>
            <w:gridSpan w:val="6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 Light" w:ascii="Calibri Light" w:hAnsi="Calibri Light"/>
                <w:b/>
                <w:kern w:val="0"/>
                <w:sz w:val="20"/>
                <w:szCs w:val="20"/>
                <w:lang w:bidi="ar-SA"/>
              </w:rPr>
              <w:t>Powtórzenie i utrwalenie wiadomości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kern w:val="0"/>
                <w:sz w:val="20"/>
                <w:szCs w:val="20"/>
                <w:lang w:bidi="ar-SA"/>
              </w:rPr>
              <w:t>21.</w:t>
            </w:r>
          </w:p>
        </w:tc>
        <w:tc>
          <w:tcPr>
            <w:tcW w:w="13262" w:type="dxa"/>
            <w:gridSpan w:val="6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 Light" w:ascii="Calibri Light" w:hAnsi="Calibri Light"/>
                <w:b/>
                <w:kern w:val="0"/>
                <w:sz w:val="20"/>
                <w:szCs w:val="20"/>
                <w:lang w:bidi="ar-SA"/>
              </w:rPr>
              <w:t>Sprawdzenie stopnia opanowania wiadomości i umiejętności</w:t>
            </w:r>
          </w:p>
        </w:tc>
      </w:tr>
      <w:tr>
        <w:trPr/>
        <w:tc>
          <w:tcPr>
            <w:tcW w:w="13993" w:type="dxa"/>
            <w:gridSpan w:val="7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 Light" w:hAnsi="Calibri Light" w:cs="Calibri Light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 Light" w:ascii="Calibri Light" w:hAnsi="Calibri Light"/>
                <w:b/>
                <w:kern w:val="0"/>
                <w:sz w:val="20"/>
                <w:szCs w:val="20"/>
                <w:lang w:bidi="ar-SA"/>
              </w:rPr>
              <w:t>III. Komorka – podstawowa jednostka życia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22.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23.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Budowa i funkcje komórki. Rodzaje komórek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i/>
                <w:i/>
                <w:iCs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wyjaśnia pojęcia: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komórka, organizm jednokomórkowy, organizmy wielokomórkowe, organizmy tkankowe, formy kolonijne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przykłady komórek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prokariotycznych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eukariotycznych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wskazuje na rysunku i podaje nazwy struktur komórki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prokariotycznej i komórki eukariotycznej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rozróżnia komórki: zwierzęcą, roślinną, grzybową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prokariotyczną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zależność między wymiarami komórki a jej powierzchnią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objętością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rysuje wybraną komórkę eukariotyczną na podstawie obserwacji mikroskopowej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podaje funkcje różnych komórek w zależności od miejsca występowania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klasyfikuje komórki ze względu na występowanie jądra komórkowego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funkcje struktur komórki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prokariotycznej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komórkę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prokariotyczną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z komórką eukariotyczną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wskazuje cechy wspólne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różnice między komórkami eukariotycznymi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przykłady największych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najmniejszych komórek roślinnych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zwierzęcych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analizuje znaczenie wielkości i kształtu komórki w transporcie substancji do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z komórki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wykonuje samodzielnie nietrwały preparat mikroskopowy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błony wewnątrzkomórkowe jako zintegrowany system strukturalno-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-funkcjonalny oraz określa jego rolę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kompartmentacji komórki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dlaczego komórki mają niewielkie rozmiary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argumentuje i wyjaśnia przyczyny różnic między komórkami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wykazuje związek funkcji organelli z ich budową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wykazuje i omawia związek budowy komórki z pełnioną przez nią funkcją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24.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Błony biologiczne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i wskazuje składniki błon biologicznych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właściwości błon biologicznych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podstawowe funkcje błon biologicznych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model budowy błony biologicznej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funkcje białek błonowych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białka błonowe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budowę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właściwości lipidów występujących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błonach biologicznych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selektywny charakter błon biologicznych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analizuje rozmieszczenie białek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lipidów w błonach biologicznych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właściwości błon biologicznych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wykazuje związek budowy błony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z pełnionymi przez nią funkcjami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związek właściwości białek błonowych z budową komórki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25.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26.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Transport przez błony biologiczne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rodzaje transportu przez błony (dyfuzja prosta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dyfuzja wspomagana, transport aktywny, endocytoza i egzocytoza)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i/>
                <w:i/>
                <w:iCs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wyjaśnia pojęcia: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osmoza, turgor, plazmoliza, deplazmoliza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różnicę między transportem biernym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 transportem czynnym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rozróżnia endocytozę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egzocytozę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odróżnia substancje osmotycznie czynne od substancji osmotycznie biernych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białka błonowe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analizuje schematy transportu substancji przez błony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różne rodzaje transportu przez błony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rolę błony komórkowej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zjawiska osmozy i dyfuzji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skutki umieszczenia komórki roślinnej oraz komórki zwierzęcej w roztworach: hipotonicznym, izotonicznym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hipertonicznym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wykazuje związek między budową błon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 jej funkcjami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planuje doświadczenie mające na celu obserwację plazmolizy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deplazmolizy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komórkach roślinnych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różnice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sposobie działania białek kanałowych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nośnikowych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na wybranych przykładach wyjaśnia różnice między endocytozą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 egzocytozą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dlaczego błona biologiczna jest selektywnie przepuszczalna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planuje doświadczenie dotyczące transportu różnych substancji przez błony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w jaki sposób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kosmetologii i farmacji wykorzystuje się właściwości błon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planuje doświadczenie mające na celu udowodnienie selektywnej przepuszczalności błony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dlaczego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przypadku odwodnienia podaje się pacjentom dożylnie roztwór soli fizjologicznej, a nie wodę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27.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28.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Jądro komórkowe.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Cytozol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wyjaśnia pojęcia: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chromatyna, nukleosom,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chromosom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określa budowę jądra komórkowego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funkcje jądra komórkowego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podaje składniki cytozolu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podaje funkcje cytozolu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elementy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cytoszkieletu i ich funkcje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podaje funkcje rzęsek i wici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identyfikuje elementy budowy jądra komórkowego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określa skład chemiczny chromatyny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znaczenie jąderka i otoczki jądrowej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i identyfikuje kolejne etapy upakowania DNA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jądrze komórkowym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rysuje chromosom metafazowy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elementy jądra komórkowego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budowę chromosomu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elementy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cytoszkieletu pod względem budowy, funkcji i rozmieszczenia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w jaki sposób odbywa się ruch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cytozolu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wskazuje różnice między elementami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cytoszkieletu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znaczenie upakowania chromatyny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chromosomie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dowodzi, że komórki eukariotyczne zawierają różną liczbę jąder komórkowych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ilustruje plan budowy wici i rzęski oraz podaje różnice między nimi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dokonuje obserwacji ruchów cytozolu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komórkach moczarki kanadyjskiej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uzasadnia różnice między rzęską a wicią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związek budowy z funkcją składników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cytoszkieletu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uzasadnia znaczenie upakowania DNA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jądrze komórkowym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planuje i przeprowadza doświadczenie badające ruchy cytozolu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komórkach roślinnych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29.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Mitochondria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i plastydy. Teoria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endosymbiozy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organelle komórki eukariotycznej otoczone dwiema błonami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opisuje budowę mitochondriów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podaje funkcje mitochondriów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funkcje plastydów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rodzaje plastydów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dokonuje obserwacji mikroskopowych plastydów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założenia teorii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endosymbiozy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budowę mitochondriów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klasyfikuje typy plastydów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budowę chloroplastu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argumenty potwierdzające słuszność teorii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endosymbiozy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uzasadnia rolę mitochondriów jako centrów energetycznych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od czego zależą liczba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rozmieszczenie mitochondriów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komórce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typy plastydów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dlaczego mitochondria i plastydy nazywa się organellami półautonomicznymi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sposoby powstawania plastydów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możliwości przekształcania różnych rodzajów plastydów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rozpoznaje typy plastydów na podstawie obserwacji mikroskopowej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określa zależność między aktywnością metaboliczną komórki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 ilością i budową mitochondriów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argumenty przemawiające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za endosymbiotycznym pochodzeniem mitochondriów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plastydów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30.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31.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Struktury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Komórkowe otoczone jedną błoną i rybosomy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komórki zawierające wakuolę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funkcje wakuoli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budowę i rolę siateczki śródplazmatycznej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budowę i rolę rybosomów, aparatu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Golgiego i lizosomów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siateczkę śródplazmatyczną szorstką z siateczką śródplazmatyczną gładką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budowę wakuoli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identyfikuje na podstawie obserwacji mikroskopowej kryształy szczawianu wapnia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wakuolach roślinnych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różnice między wodniczkami u protistów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rolę składników wakuoli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rolę tonoplastu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procesach osmotycznych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rolę substancji osmotycznie czynnych zawartych w wakuoli roślinnej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funkcjonalne powiązanie między rybosomami, siateczką śródplazmatyczną, aparatem Golgiego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 błoną komórkową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rolę przedziałów komórkowych w syntezie różnych substancji, np. hormonów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32.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Ściana komórkowa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komórki zawierające ścianę komórkową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funkcje ściany komórkowej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budowę ściany komórkowej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związki modyfikujące wtórną ścianę komórkową roślin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podaje nazwy połączeń międzykomórkowych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komórkach roślinnych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budowę ściany komórkowej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funkcje ściany komórkowej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wskazuje różnice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budowie pierwotnej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wtórnej ściany komórkowej roślin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obserwuje pod mikroskopem ścianę komórkową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na czym polegają modyfikacje wtórnej ściany komórkowej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związek budowy ściany z jej funkcją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tworzy mapę mentalną dotyczącą budowy i roli ściany komórkowej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wykazuje różnice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budowie ściany komórkowej pierwotnej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ściany komórkowej wtórnej u roślin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wykazuje związek budowy ściany komórkowej z pełnioną przez nią funkcją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w jaki sposób substancje modyfikujące wtórną ścianę komórkową zmieniają jej właściwości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33.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34.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kern w:val="0"/>
                <w:sz w:val="20"/>
                <w:szCs w:val="20"/>
                <w:lang w:bidi="ar-SA"/>
              </w:rPr>
              <w:t>Cykl komórkowy.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kern w:val="0"/>
                <w:sz w:val="20"/>
                <w:szCs w:val="20"/>
                <w:lang w:bidi="ar-SA"/>
              </w:rPr>
              <w:t>Mitoza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etapy cyklu komórkowego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rozpoznaje etapy mitozy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identyfikuje chromosomy płci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autosomy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identyfikuje chromosomy homologiczne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różnice między komórką haploidalną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 komórką diploidalną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wyjaśnia pojęcie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apoptoza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wyjaśnia pojęcia: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kariokineza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,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cytokineza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poszczególne etapy mitozy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rolę interfazy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cyklu życiowym komórki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skutki zaburzeń cyklu komórkowego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czynniki wywołujące transformację nowotworową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analizuje schemat przedstawiający ilość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DNA i chromosomów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poszczególnych etapach cyklu komórkowego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poszczególne etapy interfazy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określa znaczenie wrzeciona kariokinetycznego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na czym polega programowana śmierć komórki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i porównuje przebieg cytokinezy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różnych typach komórek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sposób formowania wrzeciona kariokinetycznego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komórkach roślinnej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zwierzęcej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wskazuje sytuacje,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których apoptoza komórek jest konieczna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wskazuje różnice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przebiegu cytokinezy komórek roślinnych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zwierzęcych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w jaki sposób cykl komórkowy jest kontrolowany w komórce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skutki mechanizmu transformacji nowotworowej dla organizmu człowieka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argumentuje, że proces apoptozy jest ważny dla prawidłowego funkcjonowania organizmu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35.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36.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Mejoza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etapy mejozy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znaczenie mejozy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zjawisko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crossing-over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przebieg mejozy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charakteryzuje przebieg procesu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crossing-over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wyjaśnia znaczenie procesu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crossing-over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zmiany zawartości DNA podczas zapłodnienia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przebieg mitozy i mejozy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zmiany zawartości DNA podczas mejozy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znaczenie mejozy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argumentuje konieczność zmian zawartości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DNA podczas mejozy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związek rozmnażania płciowego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z zachodzeniem procesu mejozy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37.</w:t>
            </w:r>
          </w:p>
        </w:tc>
        <w:tc>
          <w:tcPr>
            <w:tcW w:w="13262" w:type="dxa"/>
            <w:gridSpan w:val="6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Powtórzenie i utrwalenie wiadomości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38.</w:t>
            </w:r>
          </w:p>
        </w:tc>
        <w:tc>
          <w:tcPr>
            <w:tcW w:w="13262" w:type="dxa"/>
            <w:gridSpan w:val="6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Sprawdzenie stopnia opanowania wiadomości i umiejętności</w:t>
            </w:r>
          </w:p>
        </w:tc>
      </w:tr>
      <w:tr>
        <w:trPr/>
        <w:tc>
          <w:tcPr>
            <w:tcW w:w="13993" w:type="dxa"/>
            <w:gridSpan w:val="7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IV. Metabolizm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39.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40.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Podstawowe zasady metabolizmu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wyjaśnia pojęcia: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metabolizm, szlak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 xml:space="preserve">metaboliczny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i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cykl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metaboliczny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podstawowe kierunki przemian metabolicznych (anabolizm, katabolizm)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nośniki energii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komórce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rodzaje fosforylacji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budowę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podstawową funkcję ATP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istotę reakcji utleniania i redukcji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podaje poziom energetyczny substratów i produktów reakcji endoergicznych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egzoergicznych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cechy ATP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sumaryczny zapis procesu fosforylacji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nośniki elektronów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wyjaśnia na przykładach pojęcia: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szlak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 xml:space="preserve">metaboliczny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i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cykl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metaboliczny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wskazuje postaci utlenione i zredukowane przenośników elektronów na schematach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budowę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ATP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przebieg fosforylacji substratowej,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fotosyntetycznej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oksydacyjnej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istotę procesów anabolicznych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katabolicznych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inne niż ATP nośniki energii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znaczenie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NAD+, FAD, NADP+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procesach utleniania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redukcji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rodzaje fosforylacji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analizuje przebieg reakcji redoks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z udziałem NADP+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opisuje mechanizmy fosforylacji ADP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(substratowej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chemiosmozy)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typowe reakcje utleniania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redukcji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wykazuje związek budowy ATP z jego rolą biologiczną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wykazuje, że procesy anaboliczne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kataboliczne są ze sobą powiązane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w jaki sposób ATP sprzęga metabolizm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41.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42.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 xml:space="preserve">Budowa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i działanie enzymów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i/>
                <w:i/>
                <w:iCs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wyjaśnia pojęcia: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enzym, katalizator, energia aktywacji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budowę enzymów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rolę enzymów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komórce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mechanizm działania enzymów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zapisuje równanie reakcji enzymatycznej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przedstawia, na czym polega swoistość substratowa enzymu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właściwości enzymów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budowę enzymów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mechanizm tworzenia kompleksu enzym–substrat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podstawowe właściwości enzymów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modele powstawania kompleksu enzym–substrat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zasady nazewnictwa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klasyfikacji enzymów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mechanizm katalizy enzymatycznej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na nietypowym przykładzie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czym jest swoistość substratowa enzymu i z czego ona wynika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43.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44.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45.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Regulacja aktywności enzymów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podstawowe czynniki wpływające na szybkość reakcji enzymatycznych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i/>
                <w:i/>
                <w:iCs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wyjaśnia pojęcia: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stała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i/>
                <w:i/>
                <w:iCs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Michaelisa, inhibitor, aktywator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sposoby regulacji aktywności enzymów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rodzaje inhibitorów i ich rolę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wskazuje sposoby regulacji aktywności enzymów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wyjaśnia pojęcie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sprzężenie zwrotne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 xml:space="preserve">ujemne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wskazuje, na czym ono polega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powinowactwo enzymów do substratów na podstawie wartości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KM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przebieg doświadczenia dotyczącego wpływu pH na aktywność enzymu trawiennego, np. pepsyny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w jaki sposób na szybkość reakcji enzymatycznych wpływają: stężenie substratu, temperatura,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pH, stężenie soli, stężenie enzymu, aktywatory i inhibitory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mechanizm inhibicji kompetycyjnej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niekompetycyjnej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sposoby regulacji przebiegu szlaków metabolicznych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mechanizm sprzężenia zwrotnego ujemnego jako sposobu regulacji przebiegu szlaków metabolicznych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interpretuje wyniki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z doświadczenia wpływu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pH (lub innego czynnika) na działanie enzymów trawiennych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planuje doświadczenie mające na celu wykazanie wpływu temperatury na aktywność katalazy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bulwach ziemniaka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mechanizm działania inhibitorów hamujących enzymy nieodwracalnie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odwracalnie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proponuje doświadczenia dotyczące wpływu różnych czynników na aktywność enzymów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i argumentuje,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jaki sposób wiedza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 działaniu enzymów ma wpływ na rozwój medycyny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określa, w jaki sposób można sprawdzić, czy dana substancja jest inhibitorem odwracalnym, czy inhibitorem nieodwracalnym enzymu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46.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47.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48.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Autotroficzne odżywianie się organizmów – fotosynteza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ogólny przebieg fotosyntezy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produkty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substraty fotosyntezy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etapy fotosyntezy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określa ich dokładną lokalizację w komórce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główne etapy fotosyntezy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etapy cyklu Calvina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znaczenie fotosyntezy dla organizmów żyjących na Ziemi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wskazuje podstawowe różnice między fotosyntezą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oksygeniczną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 fotosyntezą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anoksygeniczną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wykazuje związek budowy chloroplastu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z przebiegiem fotosyntezy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analizuje na podstawie schematu przebieg fazy zależnej od światła oraz fazy niezależnej od światła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rolę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fotosystemów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fotosyntezie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rolę chlorofilu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dodatkowych barwników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fotosyntetycznych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przebiegu fotosyntezy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substraty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produkty faz fotosyntezy: zależnej i niezależnej od światła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mechanizm powstawania ATP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procesie chemiosmozy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chloroplaście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na podstawie schematu fotofosforylację cykliczną i fotofosforylację niecykliczną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budowę cząsteczki chlorofilu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budowę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funkcje fotosystemów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i II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przebieg poszczególnych etapów cyklu Calvina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budowę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działanie fotosystemów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związek między fazą zależną od światła a fazą niezależną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od światła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opisuje przebieg doświadczenia obrazującego syntezę skrobi w liściach wybranej rośliny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barwniki roślinne i wskazuje ich znaczenie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fotosyntezie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przebieg doświadczenia dotyczącego wpływu barwy światła na efektywność fotosyntezy i formułuje wnioski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określa warunki, przebieg oraz efekty fosforylacji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Fotosyntetycznej cyklicznej i fosforylacji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Fotosyntetycznej niecyklicznej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wyciąga wnioski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z przedstawionego doświadczenia dotyczącego syntezy skrobi w liściach pelargonii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argumenty potwierdzające rolę obu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fotosystemów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fotosyntezie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49.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Autotroficzne odżywianie się organizmów – chemosynteza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wyjaśnia pojęcie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chemosynteza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przykłady organizmów, u których zachodzi chemosynteza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etapy chemosyntezy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na czym polega chemosynteza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przebieg pierwszego i drugiego etapu chemosyntezy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znaczenie chemosyntezy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produkcji materii organicznej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wskazuje różnice między przebiegiem fotosyntezy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 przebiegiem chemosyntezy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znaczenie chemosyntezy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ekosystemach kominów hydrotermalnych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50.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51.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52.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53.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Oddychanie komórkowe.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Oddychanie tlenowe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i/>
                <w:i/>
                <w:iCs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wyjaśnia pojęcie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oddychanie komórkowe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zapisuje reakcję oddychania komórkowego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określa znaczenie oddychania komórkowego dla funkcjonowania organizmu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etapy oddychania tlenowego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lokalizuje etapy oddychania tlenowego w mitochondrium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czynniki wpływające na intensywność oddychania tlenowego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organizmy oddychające tlenowo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wykazuje związek budowy mitochondrium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z przebiegiem procesu oddychania komórkowego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analizuje na podstawie schematu przebieg glikolizy, reakcji pomostowej, cyklu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Krebsa i łańcucha oddechowego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wyróżnia substraty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produkty tych procesów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uzasadnia, że oddychanie komórkowe ma charakter kataboliczny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czynniki wpływające na intensywność tlenowego oddychania komórkowego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przebieg poszczególnych etapów oddychania tlenowego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 bilans energetyczny oddychania tlenowego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przedstawia, na czym polega fosforylacja substratowa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hipotezę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chemiosmozy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przeprowadza doświadczenie dotyczące wydzielania dwutlenku węgla przez kiełkujące nasiona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mechanizm powstawania ATP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procesie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chemiosmozy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mitochondriach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(fosforylacja oksydacyjna)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zysk energetyczny brutto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netto etapów oddychania tlenowego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wykazuje różnice między fosforylacją substratową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 fosforylacją oksydacyjną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na podstawie przeprowadzonego doświadczenia, że tlen jest niezbędny do kiełkowania nasion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dlaczego łańcuch oddechowy zachodzi wyłącznie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warunkach tlenowych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54.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55.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Procesy beztlenowego uzyskiwania energii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i/>
                <w:i/>
                <w:iCs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wyjaśnia pojęcia: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oddychanie beztlenowe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,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fermentacja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organizmy przeprowadzające oddychanie beztlenowe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fermentację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określa lokalizację fermentacji w komórce i ciele człowieka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zastosowanie fermentacji w przemyśle spożywczym i w życiu codziennym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różnicę między oddychaniem beztlenowym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 fermentacją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wykorzystanie fermentacji w życiu człowieka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podaje nazwy etapów fermentacji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przebieg poszczególnych etapów fermentacji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określa zysk energetyczny procesów beztlenowych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określa warunki,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których zachodzi fermentacja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analizuje przebieg fermentacji alkoholowej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mlekowej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drogi przemian pirogronianu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fermentacji alkoholowej, mleczanowej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w oddychaniu tlenowym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porównuje oddychanie tlenowe, oddychanie beztlenowe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fermentację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planuje doświadczenie mające na celu wykazanie wydzielania dwutlenku węgla podczas fermentacji alkoholowej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dlaczego utlenianie substratu energetycznego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warunkach tlenowych dostarcza więcej energii niż w warunkach beztlenowych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56.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57.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eastAsia="HelveticaNeueLTPro-Bd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Inne procesy metaboliczne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zbędne produkty katabolicznych przemian węglowodanów, tłuszczów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białek oraz drogi ich usuwania z organizmu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pojęcia: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glukoneogeneza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,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glikogenoliza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, </w:t>
            </w:r>
            <w:r>
              <w:rPr>
                <w:rFonts w:cs="Calibri" w:ascii="Calibri" w:hAnsi="Calibri"/>
                <w:i/>
                <w:iCs/>
                <w:kern w:val="0"/>
                <w:sz w:val="20"/>
                <w:szCs w:val="20"/>
                <w:lang w:bidi="ar-SA"/>
              </w:rPr>
              <w:t>deaminacja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wymienia różnice między aminokwasami endogennymi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 egzogennymi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określa lokalizację cyklu mocznikowego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i glukoneogenezy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organizmie człowieka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na czym polega cykl mocznikowy,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β-oksydacja,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glukoneogeneza, glikogenoliza oraz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deaminacja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na podstawie schematów przebieg utleniania kwasów tłuszczowych, syntezę kwasów tłuszczowych,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glukoneogenezy, glikogenolizy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przebieg przemian białek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charakteryzuje cykl mocznikowy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na czym polega metabolizm tłuszczów u zwierząt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omawia przebieg rozkładu białek, cukrów i tłuszczów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określa znaczenie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acetylokoenzymu 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przebiegu różnych szlaków metabolicznych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wyjaśnia, dlaczego amoniak powstający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 tkankach nie jest transportowany do wątroby w stanie wolnym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wyjaśnia związek między katabolizmem aminokwasów i białek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a cyklem Krebsa</w:t>
            </w:r>
          </w:p>
        </w:tc>
        <w:tc>
          <w:tcPr>
            <w:tcW w:w="22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 xml:space="preserve">• </w:t>
            </w: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wykazuje związek procesów (utleniania kwasów tłuszczowych, syntezy kwasów tłuszczowych,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glukoneogenezy, glikogenolizy)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z pozyskiwaniem energii przez komórkę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58.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59.</w:t>
            </w:r>
          </w:p>
        </w:tc>
        <w:tc>
          <w:tcPr>
            <w:tcW w:w="13262" w:type="dxa"/>
            <w:gridSpan w:val="6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Powtórzenie i utrwalenie wiadomości</w:t>
            </w:r>
          </w:p>
        </w:tc>
      </w:tr>
      <w:tr>
        <w:trPr/>
        <w:tc>
          <w:tcPr>
            <w:tcW w:w="73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kern w:val="0"/>
                <w:sz w:val="20"/>
                <w:szCs w:val="20"/>
                <w:lang w:bidi="ar-SA"/>
              </w:rPr>
              <w:t>60.</w:t>
            </w:r>
          </w:p>
        </w:tc>
        <w:tc>
          <w:tcPr>
            <w:tcW w:w="13262" w:type="dxa"/>
            <w:gridSpan w:val="6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eastAsia="HelveticaNeueLTPro-Bd" w:cs="Calibri" w:ascii="Calibri" w:hAnsi="Calibri"/>
                <w:b/>
                <w:kern w:val="0"/>
                <w:sz w:val="20"/>
                <w:szCs w:val="20"/>
                <w:lang w:bidi="ar-SA"/>
              </w:rPr>
              <w:t>Sprawdzenie stopnia opanowania wiadomości i umiejętności</w:t>
            </w:r>
          </w:p>
        </w:tc>
      </w:tr>
    </w:tbl>
    <w:p>
      <w:pPr>
        <w:pStyle w:val="Normal"/>
        <w:jc w:val="right"/>
        <w:rPr>
          <w:rFonts w:ascii="Calibri" w:hAnsi="Calibri" w:cs="Calibri"/>
          <w:b/>
          <w:b/>
          <w:sz w:val="28"/>
        </w:rPr>
      </w:pPr>
      <w:r>
        <w:rPr>
          <w:rFonts w:cs="Calibri" w:ascii="Calibri" w:hAnsi="Calibri"/>
          <w:b/>
          <w:sz w:val="28"/>
        </w:rPr>
      </w:r>
    </w:p>
    <w:p>
      <w:pPr>
        <w:pStyle w:val="Normal"/>
        <w:jc w:val="right"/>
        <w:rPr>
          <w:rFonts w:ascii="Calibri" w:hAnsi="Calibri" w:cs="Calibri"/>
          <w:b/>
          <w:b/>
          <w:sz w:val="28"/>
        </w:rPr>
      </w:pPr>
      <w:r>
        <w:rPr>
          <w:rFonts w:cs="Calibri" w:ascii="Calibri" w:hAnsi="Calibri"/>
          <w:b/>
          <w:bCs/>
          <w:sz w:val="20"/>
          <w:szCs w:val="18"/>
        </w:rPr>
        <w:t>Autorka: Małgorzata Miękus</w:t>
      </w:r>
    </w:p>
    <w:p>
      <w:pPr>
        <w:pStyle w:val="Normal"/>
        <w:spacing w:lineRule="auto" w:line="360"/>
        <w:ind w:firstLine="567"/>
        <w:jc w:val="both"/>
        <w:rPr>
          <w:sz w:val="22"/>
          <w:szCs w:val="22"/>
          <w:lang w:val="pl-PL"/>
        </w:rPr>
      </w:pPr>
      <w:r>
        <w:rPr/>
      </w:r>
    </w:p>
    <w:sectPr>
      <w:footerReference w:type="default" r:id="rId2"/>
      <w:type w:val="nextPage"/>
      <w:pgSz w:orient="landscape" w:w="16838" w:h="11906"/>
      <w:pgMar w:left="1418" w:right="1418" w:header="0" w:top="1418" w:footer="709" w:bottom="1134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Roboto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12</w:t>
    </w:r>
    <w:r>
      <w:rPr/>
      <w:fldChar w:fldCharType="end"/>
    </w:r>
  </w:p>
  <w:p>
    <w:pPr>
      <w:pStyle w:val="Stopka"/>
      <w:jc w:val="center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13">
              <wp:simplePos x="0" y="0"/>
              <wp:positionH relativeFrom="column">
                <wp:posOffset>-360045</wp:posOffset>
              </wp:positionH>
              <wp:positionV relativeFrom="paragraph">
                <wp:posOffset>-35560</wp:posOffset>
              </wp:positionV>
              <wp:extent cx="3097530" cy="382270"/>
              <wp:effectExtent l="1270" t="1905" r="0" b="0"/>
              <wp:wrapNone/>
              <wp:docPr id="1" name="Group 18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720" cy="381600"/>
                      </a:xfrm>
                    </wpg:grpSpPr>
                    <pic:pic xmlns:pic="http://schemas.openxmlformats.org/drawingml/2006/picture">
                      <pic:nvPicPr>
                        <pic:cNvPr id="0" name="Picture 16" descr="logoNE_rgb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17640"/>
                          <a:ext cx="528480" cy="363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596160" y="0"/>
                          <a:ext cx="250056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0"/>
                                <w:bCs w:val="false"/>
                                <w:iCs w:val="false"/>
                                <w:smallCaps w:val="false"/>
                                <w:caps w:val="false"/>
                                <w:rFonts w:ascii="Calibri" w:hAnsi="Calibri" w:eastAsia="Calibri"/>
                                <w:lang w:val="pl-PL" w:eastAsia="pl-PL"/>
                              </w:rPr>
                              <w:t>www.dlanauczyciela.pl</w:t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0"/>
                                <w:bCs w:val="false"/>
                                <w:iCs w:val="false"/>
                                <w:smallCaps w:val="false"/>
                                <w:caps w:val="false"/>
                                <w:rFonts w:ascii="Calibri" w:hAnsi="Calibri" w:eastAsia="Calibri"/>
                                <w:lang w:val="pl-PL" w:eastAsia="pl-PL"/>
                              </w:rPr>
                              <w:t>© Copyright by Nowa Era Sp. z o.o.</w:t>
                            </w:r>
                          </w:p>
                        </w:txbxContent>
                      </wps:txbx>
                      <wps:bodyPr lIns="144000" rIns="0" tIns="36360" bIns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oup 18" style="position:absolute;margin-left:-28.35pt;margin-top:-2.8pt;width:243.85pt;height:30.05pt" coordorigin="-567,-56" coordsize="4877,601"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16" stroked="f" style="position:absolute;left:-567;top:-28;width:831;height:572;mso-wrap-style:none;v-text-anchor:middle" type="shapetype_75">
                <v:imagedata r:id="rId1" o:detectmouseclick="t"/>
                <v:stroke color="#3465a4" joinstyle="round" endcap="flat"/>
                <w10:wrap type="none"/>
              </v:shape>
              <v:rect id="shape_0" ID="Text Box 17" path="m0,0l-2147483645,0l-2147483645,-2147483646l0,-2147483646xe" fillcolor="white" stroked="f" style="position:absolute;left:372;top:-56;width:3937;height:566;mso-wrap-style:square;v-text-anchor:top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left"/>
                        <w:rPr/>
                      </w:pPr>
                      <w:r>
                        <w:rPr>
                          <w:sz w:val="20"/>
                          <w:b w:val="false"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20"/>
                          <w:bCs w:val="false"/>
                          <w:iCs w:val="false"/>
                          <w:smallCaps w:val="false"/>
                          <w:caps w:val="false"/>
                          <w:rFonts w:ascii="Calibri" w:hAnsi="Calibri" w:eastAsia="Calibri"/>
                          <w:lang w:val="pl-PL" w:eastAsia="pl-PL"/>
                        </w:rPr>
                        <w:t>www.dlanauczyciela.pl</w:t>
                      </w:r>
                    </w:p>
                    <w:p>
                      <w:pPr>
                        <w:overflowPunct w:val="false"/>
                        <w:spacing w:before="0" w:after="0" w:lineRule="auto" w:line="240"/>
                        <w:jc w:val="left"/>
                        <w:rPr/>
                      </w:pPr>
                      <w:r>
                        <w:rPr>
                          <w:sz w:val="20"/>
                          <w:b w:val="false"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20"/>
                          <w:bCs w:val="false"/>
                          <w:iCs w:val="false"/>
                          <w:smallCaps w:val="false"/>
                          <w:caps w:val="false"/>
                          <w:rFonts w:ascii="Calibri" w:hAnsi="Calibri" w:eastAsia="Calibri"/>
                          <w:lang w:val="pl-PL" w:eastAsia="pl-PL"/>
                        </w:rPr>
                        <w:t>© Copyright by Nowa Era Sp. z o.o.</w:t>
                      </w:r>
                    </w:p>
                  </w:txbxContent>
                </v:textbox>
                <v:fill o:detectmouseclick="t" type="solid" color2="black"/>
                <v:stroke color="#3465a4" joinstyle="round" endcap="flat"/>
              </v:rect>
            </v:group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284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5451e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link w:val="Nagwek"/>
    <w:uiPriority w:val="99"/>
    <w:qFormat/>
    <w:rsid w:val="00be283b"/>
    <w:rPr>
      <w:rFonts w:ascii="Times New Roman" w:hAnsi="Times New Roman" w:eastAsia="Times New Roman"/>
      <w:sz w:val="24"/>
    </w:rPr>
  </w:style>
  <w:style w:type="character" w:styleId="Zakotwiczenieprzypisudolnego">
    <w:name w:val="Zakotwiczenie przypisu dolnego"/>
    <w:rPr>
      <w:b/>
      <w:sz w:val="18"/>
      <w:vertAlign w:val="superscript"/>
    </w:rPr>
  </w:style>
  <w:style w:type="character" w:styleId="FootnoteCharacters">
    <w:name w:val="Footnote Characters"/>
    <w:semiHidden/>
    <w:qFormat/>
    <w:rsid w:val="00be283b"/>
    <w:rPr>
      <w:b/>
      <w:sz w:val="18"/>
      <w:vertAlign w:val="superscript"/>
    </w:rPr>
  </w:style>
  <w:style w:type="character" w:styleId="TekstprzypisudolnegoZnak" w:customStyle="1">
    <w:name w:val="Tekst przypisu dolnego Znak"/>
    <w:link w:val="Tekstprzypisudolnego"/>
    <w:semiHidden/>
    <w:qFormat/>
    <w:rsid w:val="00be283b"/>
    <w:rPr>
      <w:rFonts w:ascii="Times New Roman" w:hAnsi="Times New Roman" w:eastAsia="Times New Roman"/>
    </w:rPr>
  </w:style>
  <w:style w:type="character" w:styleId="StopkaZnak" w:customStyle="1">
    <w:name w:val="Stopka Znak"/>
    <w:link w:val="Stopka"/>
    <w:uiPriority w:val="99"/>
    <w:qFormat/>
    <w:rsid w:val="000e7d0e"/>
    <w:rPr>
      <w:rFonts w:ascii="Times New Roman" w:hAnsi="Times New Roman" w:eastAsia="Times New Roman"/>
      <w:sz w:val="24"/>
      <w:szCs w:val="24"/>
      <w:lang w:val="en-US" w:eastAsia="en-US"/>
    </w:rPr>
  </w:style>
  <w:style w:type="character" w:styleId="Znakinumeracji" w:customStyle="1">
    <w:name w:val="Znaki numeracji"/>
    <w:qFormat/>
    <w:rsid w:val="00c2032c"/>
    <w:rPr/>
  </w:style>
  <w:style w:type="character" w:styleId="Znakiwypunktowania" w:customStyle="1">
    <w:name w:val="Znaki wypunktowania"/>
    <w:qFormat/>
    <w:rsid w:val="00c2032c"/>
    <w:rPr>
      <w:rFonts w:ascii="OpenSymbol" w:hAnsi="OpenSymbol" w:eastAsia="OpenSymbol" w:cs="OpenSymbol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c2032c"/>
    <w:rPr>
      <w:rFonts w:ascii="Times New Roman" w:hAnsi="Times New Roman" w:eastAsia="Andale Sans UI" w:cs="Tahoma"/>
      <w:kern w:val="2"/>
      <w:lang w:val="de-DE" w:eastAsia="ja-JP" w:bidi="fa-IR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c2032c"/>
    <w:rPr>
      <w:rFonts w:ascii="Times New Roman" w:hAnsi="Times New Roman" w:eastAsia="Andale Sans UI" w:cs="Tahoma"/>
      <w:b/>
      <w:bCs/>
      <w:kern w:val="2"/>
      <w:lang w:val="de-DE" w:eastAsia="ja-JP" w:bidi="fa-IR"/>
    </w:rPr>
  </w:style>
  <w:style w:type="character" w:styleId="TekstdymkaZnak" w:customStyle="1">
    <w:name w:val="Tekst dymka Znak"/>
    <w:link w:val="Tekstdymka"/>
    <w:uiPriority w:val="99"/>
    <w:semiHidden/>
    <w:qFormat/>
    <w:rsid w:val="00c2032c"/>
    <w:rPr>
      <w:rFonts w:ascii="Tahoma" w:hAnsi="Tahoma" w:eastAsia="Andale Sans UI" w:cs="Tahoma"/>
      <w:kern w:val="2"/>
      <w:sz w:val="16"/>
      <w:szCs w:val="16"/>
      <w:lang w:val="de-DE" w:eastAsia="ja-JP" w:bidi="fa-IR"/>
    </w:rPr>
  </w:style>
  <w:style w:type="character" w:styleId="PlandokumentuZnak" w:customStyle="1">
    <w:name w:val="Plan dokumentu Znak"/>
    <w:link w:val="Plandokumentu"/>
    <w:uiPriority w:val="99"/>
    <w:semiHidden/>
    <w:qFormat/>
    <w:rsid w:val="00c2032c"/>
    <w:rPr>
      <w:rFonts w:ascii="Tahoma" w:hAnsi="Tahoma" w:eastAsia="Andale Sans UI" w:cs="Tahoma"/>
      <w:kern w:val="2"/>
      <w:sz w:val="16"/>
      <w:szCs w:val="16"/>
      <w:lang w:val="de-DE" w:eastAsia="ja-JP" w:bidi="fa-IR"/>
    </w:rPr>
  </w:style>
  <w:style w:type="character" w:styleId="Annotationreference">
    <w:name w:val="annotation reference"/>
    <w:uiPriority w:val="99"/>
    <w:semiHidden/>
    <w:unhideWhenUsed/>
    <w:qFormat/>
    <w:rsid w:val="00524057"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rsid w:val="00c2032c"/>
    <w:pPr/>
    <w:rPr/>
  </w:style>
  <w:style w:type="paragraph" w:styleId="Podpis" w:customStyle="1">
    <w:name w:val="Caption"/>
    <w:basedOn w:val="Standard"/>
    <w:qFormat/>
    <w:rsid w:val="00c2032c"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Standard"/>
    <w:qFormat/>
    <w:rsid w:val="00c2032c"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 w:customStyle="1">
    <w:name w:val="Header"/>
    <w:basedOn w:val="Standard"/>
    <w:next w:val="Textbody"/>
    <w:rsid w:val="00c2032c"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Przypisdolny">
    <w:name w:val="Footnote Text"/>
    <w:basedOn w:val="Normal"/>
    <w:link w:val="TekstprzypisudolnegoZnak"/>
    <w:semiHidden/>
    <w:rsid w:val="00be283b"/>
    <w:pPr>
      <w:widowControl w:val="false"/>
      <w:suppressAutoHyphens w:val="true"/>
      <w:ind w:left="227" w:hanging="227"/>
    </w:pPr>
    <w:rPr>
      <w:sz w:val="20"/>
      <w:szCs w:val="20"/>
      <w:lang w:val="pl-PL" w:eastAsia="pl-PL"/>
    </w:rPr>
  </w:style>
  <w:style w:type="paragraph" w:styleId="Standard" w:customStyle="1">
    <w:name w:val="Standard"/>
    <w:qFormat/>
    <w:rsid w:val="00c503c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de-DE" w:eastAsia="ja-JP" w:bidi="fa-IR"/>
    </w:rPr>
  </w:style>
  <w:style w:type="paragraph" w:styleId="Stopka" w:customStyle="1">
    <w:name w:val="Footer"/>
    <w:basedOn w:val="Standard"/>
    <w:rsid w:val="00c2032c"/>
    <w:pPr>
      <w:suppressLineNumbers/>
      <w:tabs>
        <w:tab w:val="clear" w:pos="284"/>
        <w:tab w:val="center" w:pos="7285" w:leader="none"/>
        <w:tab w:val="right" w:pos="14570" w:leader="none"/>
      </w:tabs>
    </w:pPr>
    <w:rPr/>
  </w:style>
  <w:style w:type="paragraph" w:styleId="Textbody" w:customStyle="1">
    <w:name w:val="Text body"/>
    <w:basedOn w:val="Standard"/>
    <w:qFormat/>
    <w:rsid w:val="00c2032c"/>
    <w:pPr>
      <w:spacing w:before="0" w:after="120"/>
    </w:pPr>
    <w:rPr/>
  </w:style>
  <w:style w:type="paragraph" w:styleId="Zawartotabeli" w:customStyle="1">
    <w:name w:val="Zawartość tabeli"/>
    <w:basedOn w:val="Standard"/>
    <w:qFormat/>
    <w:rsid w:val="00c2032c"/>
    <w:pPr>
      <w:suppressLineNumbers/>
    </w:pPr>
    <w:rPr/>
  </w:style>
  <w:style w:type="paragraph" w:styleId="Nagwektabeli" w:customStyle="1">
    <w:name w:val="Nagłówek tabeli"/>
    <w:basedOn w:val="Zawartotabeli"/>
    <w:qFormat/>
    <w:rsid w:val="00c2032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c2032c"/>
    <w:pPr>
      <w:widowControl w:val="false"/>
      <w:suppressAutoHyphens w:val="true"/>
      <w:ind w:left="720" w:hanging="0"/>
      <w:textAlignment w:val="baseline"/>
    </w:pPr>
    <w:rPr>
      <w:rFonts w:eastAsia="Andale Sans UI" w:cs="Tahoma"/>
      <w:kern w:val="2"/>
      <w:lang w:val="de-DE" w:eastAsia="ja-JP" w:bidi="fa-IR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c2032c"/>
    <w:pPr>
      <w:widowControl w:val="false"/>
      <w:suppressAutoHyphens w:val="true"/>
      <w:textAlignment w:val="baseline"/>
    </w:pPr>
    <w:rPr>
      <w:rFonts w:eastAsia="Andale Sans UI" w:cs="Tahoma"/>
      <w:kern w:val="2"/>
      <w:sz w:val="20"/>
      <w:szCs w:val="20"/>
      <w:lang w:val="de-DE" w:eastAsia="ja-JP" w:bidi="fa-IR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c2032c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2032c"/>
    <w:pPr>
      <w:widowControl w:val="false"/>
      <w:suppressAutoHyphens w:val="true"/>
      <w:textAlignment w:val="baseline"/>
    </w:pPr>
    <w:rPr>
      <w:rFonts w:ascii="Tahoma" w:hAnsi="Tahoma" w:eastAsia="Andale Sans UI" w:cs="Tahoma"/>
      <w:kern w:val="2"/>
      <w:sz w:val="16"/>
      <w:szCs w:val="16"/>
      <w:lang w:val="de-DE" w:eastAsia="ja-JP" w:bidi="fa-IR"/>
    </w:rPr>
  </w:style>
  <w:style w:type="paragraph" w:styleId="Plandokumentu">
    <w:name w:val="Plan dokumentu"/>
    <w:basedOn w:val="Normal"/>
    <w:link w:val="PlandokumentuZnak"/>
    <w:uiPriority w:val="99"/>
    <w:semiHidden/>
    <w:unhideWhenUsed/>
    <w:qFormat/>
    <w:rsid w:val="00c2032c"/>
    <w:pPr>
      <w:widowControl w:val="false"/>
      <w:suppressAutoHyphens w:val="true"/>
      <w:textAlignment w:val="baseline"/>
    </w:pPr>
    <w:rPr>
      <w:rFonts w:ascii="Tahoma" w:hAnsi="Tahoma" w:eastAsia="Andale Sans UI" w:cs="Tahoma"/>
      <w:kern w:val="2"/>
      <w:sz w:val="16"/>
      <w:szCs w:val="16"/>
      <w:lang w:val="de-DE" w:eastAsia="ja-JP" w:bidi="fa-IR"/>
    </w:rPr>
  </w:style>
  <w:style w:type="paragraph" w:styleId="StopkaCopyright" w:customStyle="1">
    <w:name w:val="Stopka Copyright"/>
    <w:basedOn w:val="Normal"/>
    <w:qFormat/>
    <w:rsid w:val="00245292"/>
    <w:pPr>
      <w:jc w:val="both"/>
    </w:pPr>
    <w:rPr>
      <w:rFonts w:ascii="Roboto" w:hAnsi="Roboto" w:eastAsia="Calibri"/>
      <w:iCs/>
      <w:color w:val="000000"/>
      <w:sz w:val="16"/>
      <w:szCs w:val="18"/>
      <w:lang w:val="pl-PL"/>
    </w:rPr>
  </w:style>
  <w:style w:type="paragraph" w:styleId="Revision">
    <w:name w:val="Revision"/>
    <w:uiPriority w:val="99"/>
    <w:semiHidden/>
    <w:qFormat/>
    <w:rsid w:val="00461eb3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c3c40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../customXml/item4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10178DDD-DFA9-4B89-BA53-C3C09E5785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2E4685-67DF-431A-AF26-C57A9763AAD0}"/>
</file>

<file path=customXml/itemProps3.xml><?xml version="1.0" encoding="utf-8"?>
<ds:datastoreItem xmlns:ds="http://schemas.openxmlformats.org/officeDocument/2006/customXml" ds:itemID="{2306D111-6593-4C67-9FB2-E539D2DD334D}"/>
</file>

<file path=customXml/itemProps4.xml><?xml version="1.0" encoding="utf-8"?>
<ds:datastoreItem xmlns:ds="http://schemas.openxmlformats.org/officeDocument/2006/customXml" ds:itemID="{BB4AE621-03B5-486F-B397-4A7490D040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LibreOffice/7.1.3.2$Windows_X86_64 LibreOffice_project/47f78053abe362b9384784d31a6e56f8511eb1c1</Application>
  <AppVersion>15.0000</AppVersion>
  <Pages>14</Pages>
  <Words>3840</Words>
  <Characters>25577</Characters>
  <CharactersWithSpaces>28640</CharactersWithSpaces>
  <Paragraphs>782</Paragraphs>
  <Company>Nowa Era Sp. z o.o.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a.detka</dc:creator>
  <dc:description/>
  <cp:lastModifiedBy/>
  <cp:revision>5</cp:revision>
  <cp:lastPrinted>2019-05-20T05:31:00Z</cp:lastPrinted>
  <dcterms:created xsi:type="dcterms:W3CDTF">2019-07-23T13:14:00Z</dcterms:created>
  <dcterms:modified xsi:type="dcterms:W3CDTF">2021-08-30T16:12:04Z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