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false"/>
        <w:spacing w:before="171" w:after="0"/>
        <w:jc w:val="center"/>
        <w:rPr/>
      </w:pPr>
      <w:r>
        <w:rPr>
          <w:rFonts w:cs="Arial" w:ascii="Arial" w:hAnsi="Arial"/>
          <w:b/>
          <w:color w:val="000000" w:themeColor="text1"/>
          <w:w w:val="105"/>
          <w:sz w:val="36"/>
          <w:szCs w:val="36"/>
        </w:rPr>
        <w:t xml:space="preserve"> </w:t>
      </w:r>
      <w:r>
        <w:rPr>
          <w:rFonts w:cs="Arial" w:ascii="Arial" w:hAnsi="Arial"/>
          <w:b/>
          <w:color w:val="000000" w:themeColor="text1"/>
          <w:w w:val="105"/>
          <w:sz w:val="36"/>
          <w:szCs w:val="36"/>
        </w:rPr>
        <w:t xml:space="preserve">Wymagania edukacyjne z fizyki dla klasy II w IILO w Malborku </w:t>
      </w:r>
    </w:p>
    <w:p>
      <w:pPr>
        <w:pStyle w:val="Tretekstu"/>
        <w:overflowPunct w:val="false"/>
        <w:spacing w:before="171" w:after="0"/>
        <w:jc w:val="center"/>
        <w:rPr/>
      </w:pPr>
      <w:r>
        <w:rPr>
          <w:rFonts w:cs="Arial" w:ascii="Arial" w:hAnsi="Arial"/>
          <w:b/>
          <w:color w:val="000000" w:themeColor="text1"/>
          <w:w w:val="105"/>
          <w:sz w:val="36"/>
          <w:szCs w:val="36"/>
        </w:rPr>
        <w:t>"ZROZUMIEĆ FIZYKĘ2" zakres rozszerzony</w:t>
      </w:r>
    </w:p>
    <w:p>
      <w:pPr>
        <w:pStyle w:val="Tretekstu"/>
        <w:overflowPunct w:val="false"/>
        <w:spacing w:lineRule="auto" w:line="360" w:before="120" w:after="240"/>
        <w:ind w:right="567" w:hanging="0"/>
        <w:rPr>
          <w:color w:val="000000" w:themeColor="text1"/>
          <w:w w:val="105"/>
        </w:rPr>
      </w:pPr>
      <w:r>
        <w:rPr>
          <w:color w:val="000000" w:themeColor="text1"/>
          <w:w w:val="105"/>
        </w:rPr>
        <w:t>Nauczyciele: Dorota Konefał, Janusz Szumała</w:t>
      </w:r>
    </w:p>
    <w:p>
      <w:pPr>
        <w:pStyle w:val="Nagwek1"/>
        <w:overflowPunct w:val="false"/>
        <w:spacing w:lineRule="auto" w:line="360" w:before="0" w:after="0"/>
        <w:ind w:left="454" w:right="567" w:hanging="0"/>
        <w:rPr>
          <w:rFonts w:ascii="Arial" w:hAnsi="Arial" w:cs="Arial"/>
          <w:b/>
          <w:b/>
          <w:color w:val="000000" w:themeColor="text1"/>
          <w:w w:val="11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8" wp14:anchorId="67478AA4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000000" w:themeColor="text1"/>
          <w:w w:val="110"/>
        </w:rPr>
        <w:t>Zasady ogólne</w:t>
      </w:r>
    </w:p>
    <w:p>
      <w:pPr>
        <w:pStyle w:val="ListParagraph"/>
        <w:numPr>
          <w:ilvl w:val="0"/>
          <w:numId w:val="5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w w:val="105"/>
          <w:sz w:val="17"/>
          <w:szCs w:val="17"/>
        </w:rPr>
      </w:pPr>
      <w:r>
        <w:rPr>
          <w:rFonts w:cs="Century Gothic"/>
          <w:color w:val="000000" w:themeColor="text1"/>
          <w:w w:val="105"/>
          <w:sz w:val="17"/>
          <w:szCs w:val="17"/>
        </w:rPr>
        <w:t xml:space="preserve">Na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 xml:space="preserve">podstawowym </w:t>
      </w:r>
      <w:r>
        <w:rPr>
          <w:color w:val="000000" w:themeColor="text1"/>
          <w:w w:val="105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>obowiązkowe</w:t>
      </w:r>
      <w:r>
        <w:rPr>
          <w:rFonts w:cs="Bookman Old Style"/>
          <w:b/>
          <w:bCs/>
          <w:color w:val="000000" w:themeColor="text1"/>
          <w:spacing w:val="-47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 xml:space="preserve">(na stopień dopuszczający </w:t>
      </w:r>
      <w:r>
        <w:rPr>
          <w:color w:val="000000" w:themeColor="text1"/>
          <w:w w:val="125"/>
          <w:sz w:val="17"/>
          <w:szCs w:val="17"/>
        </w:rPr>
        <w:t xml:space="preserve">- </w:t>
      </w:r>
      <w:r>
        <w:rPr>
          <w:color w:val="000000" w:themeColor="text1"/>
          <w:w w:val="105"/>
          <w:sz w:val="17"/>
          <w:szCs w:val="17"/>
        </w:rPr>
        <w:t xml:space="preserve">łatwe; na stopień dostateczny </w:t>
      </w:r>
      <w:r>
        <w:rPr>
          <w:color w:val="000000" w:themeColor="text1"/>
          <w:w w:val="125"/>
          <w:sz w:val="17"/>
          <w:szCs w:val="17"/>
        </w:rPr>
        <w:t xml:space="preserve">- </w:t>
      </w:r>
      <w:r>
        <w:rPr>
          <w:color w:val="000000" w:themeColor="text1"/>
          <w:w w:val="105"/>
          <w:sz w:val="17"/>
          <w:szCs w:val="17"/>
        </w:rPr>
        <w:t xml:space="preserve">umiarkowanie trudne); niektóre czynności ucznia mogą być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>wspomagane</w:t>
      </w:r>
      <w:r>
        <w:rPr>
          <w:rFonts w:cs="Bookman Old Style"/>
          <w:b/>
          <w:bCs/>
          <w:color w:val="000000" w:themeColor="text1"/>
          <w:spacing w:val="-4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 xml:space="preserve">przez nauczyciela (np. wykonywanie doświadczeń, rozwiązywanie </w:t>
      </w:r>
      <w:r>
        <w:rPr>
          <w:color w:val="000000" w:themeColor="text1"/>
          <w:spacing w:val="-3"/>
          <w:w w:val="105"/>
          <w:sz w:val="17"/>
          <w:szCs w:val="17"/>
        </w:rPr>
        <w:t xml:space="preserve">problemów, </w:t>
      </w:r>
      <w:r>
        <w:rPr>
          <w:color w:val="000000" w:themeColor="text1"/>
          <w:w w:val="105"/>
          <w:sz w:val="17"/>
          <w:szCs w:val="17"/>
        </w:rPr>
        <w:t>przy czym na stopień dostateczny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uczeń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wykonuje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je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pod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kierunkiem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nauczyciela,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na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stopień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dopuszczający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25"/>
          <w:sz w:val="17"/>
          <w:szCs w:val="17"/>
        </w:rPr>
        <w:t>-</w:t>
      </w:r>
      <w:r>
        <w:rPr>
          <w:color w:val="000000" w:themeColor="text1"/>
          <w:spacing w:val="-12"/>
          <w:w w:val="12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przy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pomocy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nauczyciela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lub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innych</w:t>
      </w:r>
      <w:r>
        <w:rPr>
          <w:color w:val="000000" w:themeColor="text1"/>
          <w:spacing w:val="-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uczniów).</w:t>
      </w:r>
    </w:p>
    <w:p>
      <w:pPr>
        <w:pStyle w:val="ListParagraph"/>
        <w:numPr>
          <w:ilvl w:val="0"/>
          <w:numId w:val="5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Czynności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wymagane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na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poziomach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wymagań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>wyższych</w:t>
      </w:r>
      <w:r>
        <w:rPr>
          <w:rFonts w:cs="Bookman Old Style"/>
          <w:b/>
          <w:bCs/>
          <w:color w:val="000000" w:themeColor="text1"/>
          <w:spacing w:val="-2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niż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poziom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podstawowy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uczeń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powinien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wykonać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>samodzielnie</w:t>
      </w:r>
      <w:r>
        <w:rPr>
          <w:rFonts w:cs="Bookman Old Style"/>
          <w:b/>
          <w:bCs/>
          <w:color w:val="000000" w:themeColor="text1"/>
          <w:spacing w:val="-2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(na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stopień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dobry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niekiedy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może</w:t>
      </w:r>
      <w:r>
        <w:rPr>
          <w:color w:val="000000" w:themeColor="text1"/>
          <w:spacing w:val="-6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jeszcze korzystać z niewielkiego wsparcia</w:t>
      </w:r>
      <w:r>
        <w:rPr>
          <w:color w:val="000000" w:themeColor="text1"/>
          <w:spacing w:val="-1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nauczyciela).</w:t>
      </w:r>
    </w:p>
    <w:p>
      <w:pPr>
        <w:pStyle w:val="ListParagraph"/>
        <w:numPr>
          <w:ilvl w:val="0"/>
          <w:numId w:val="5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w w:val="110"/>
          <w:sz w:val="17"/>
          <w:szCs w:val="17"/>
        </w:rPr>
      </w:pPr>
      <w:r>
        <w:rPr>
          <w:color w:val="000000" w:themeColor="text1"/>
          <w:w w:val="110"/>
          <w:sz w:val="17"/>
          <w:szCs w:val="17"/>
        </w:rPr>
        <w:t>W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wypadku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wymagań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na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stopnie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000000" w:themeColor="text1"/>
          <w:w w:val="110"/>
          <w:sz w:val="17"/>
          <w:szCs w:val="17"/>
        </w:rPr>
        <w:t xml:space="preserve">wyższe </w:t>
      </w:r>
      <w:r>
        <w:rPr>
          <w:rFonts w:cs="Bookman Old Style"/>
          <w:b/>
          <w:bCs/>
          <w:color w:val="000000" w:themeColor="text1"/>
          <w:spacing w:val="-47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niż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dostateczny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uczeń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wykonuje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zadania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000000" w:themeColor="text1"/>
          <w:w w:val="110"/>
          <w:sz w:val="17"/>
          <w:szCs w:val="17"/>
        </w:rPr>
        <w:t>dodatkowe</w:t>
      </w:r>
      <w:r>
        <w:rPr>
          <w:rFonts w:cs="Bookman Old Style"/>
          <w:b/>
          <w:bCs/>
          <w:color w:val="000000" w:themeColor="text1"/>
          <w:spacing w:val="-47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(na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stopień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dobry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25"/>
          <w:sz w:val="17"/>
          <w:szCs w:val="17"/>
        </w:rPr>
        <w:t>-</w:t>
      </w:r>
      <w:r>
        <w:rPr>
          <w:color w:val="000000" w:themeColor="text1"/>
          <w:spacing w:val="-37"/>
          <w:w w:val="125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umiarkowanie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trudne;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na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stopień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bardzo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dobry</w:t>
      </w:r>
      <w:r>
        <w:rPr>
          <w:color w:val="000000" w:themeColor="text1"/>
          <w:spacing w:val="-30"/>
          <w:w w:val="110"/>
          <w:sz w:val="17"/>
          <w:szCs w:val="17"/>
        </w:rPr>
        <w:t xml:space="preserve"> </w:t>
      </w:r>
      <w:r>
        <w:rPr>
          <w:color w:val="000000" w:themeColor="text1"/>
          <w:w w:val="125"/>
          <w:sz w:val="17"/>
          <w:szCs w:val="17"/>
        </w:rPr>
        <w:t xml:space="preserve">- </w:t>
      </w:r>
      <w:r>
        <w:rPr>
          <w:color w:val="000000" w:themeColor="text1"/>
          <w:w w:val="110"/>
          <w:sz w:val="17"/>
          <w:szCs w:val="17"/>
        </w:rPr>
        <w:t>trudne).</w:t>
      </w:r>
    </w:p>
    <w:p>
      <w:pPr>
        <w:pStyle w:val="ListParagraph"/>
        <w:numPr>
          <w:ilvl w:val="0"/>
          <w:numId w:val="5"/>
        </w:numPr>
        <w:overflowPunct w:val="false"/>
        <w:spacing w:lineRule="auto" w:line="276" w:before="0" w:after="0"/>
        <w:ind w:left="454" w:right="567" w:hanging="284"/>
        <w:jc w:val="both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 xml:space="preserve">celującego </w:t>
      </w:r>
      <w:r>
        <w:rPr>
          <w:color w:val="000000" w:themeColor="text1"/>
          <w:w w:val="105"/>
          <w:sz w:val="17"/>
          <w:szCs w:val="17"/>
        </w:rPr>
        <w:t xml:space="preserve">obejmują wymagania na stopień bardzo </w:t>
      </w:r>
      <w:r>
        <w:rPr>
          <w:color w:val="000000" w:themeColor="text1"/>
          <w:spacing w:val="-4"/>
          <w:w w:val="105"/>
          <w:sz w:val="17"/>
          <w:szCs w:val="17"/>
        </w:rPr>
        <w:t>dobry, a </w:t>
      </w:r>
      <w:r>
        <w:rPr>
          <w:color w:val="000000" w:themeColor="text1"/>
          <w:w w:val="105"/>
          <w:sz w:val="17"/>
          <w:szCs w:val="17"/>
        </w:rPr>
        <w:t xml:space="preserve">ponadto </w:t>
      </w:r>
      <w:r>
        <w:rPr>
          <w:rFonts w:cs="Bookman Old Style"/>
          <w:b/>
          <w:bCs/>
          <w:color w:val="000000" w:themeColor="text1"/>
          <w:w w:val="105"/>
          <w:sz w:val="17"/>
          <w:szCs w:val="17"/>
        </w:rPr>
        <w:t xml:space="preserve">wykraczające </w:t>
      </w:r>
      <w:r>
        <w:rPr>
          <w:color w:val="000000" w:themeColor="text1"/>
          <w:w w:val="105"/>
          <w:sz w:val="17"/>
          <w:szCs w:val="17"/>
        </w:rPr>
        <w:t xml:space="preserve">poza obowiązujący program nauczania (uczeń jest </w:t>
      </w:r>
      <w:r>
        <w:rPr>
          <w:color w:val="000000" w:themeColor="text1"/>
          <w:spacing w:val="-3"/>
          <w:w w:val="105"/>
          <w:sz w:val="17"/>
          <w:szCs w:val="17"/>
        </w:rPr>
        <w:t xml:space="preserve">twórczy, </w:t>
      </w:r>
      <w:r>
        <w:rPr>
          <w:color w:val="000000" w:themeColor="text1"/>
          <w:w w:val="105"/>
          <w:sz w:val="17"/>
          <w:szCs w:val="17"/>
        </w:rPr>
        <w:t xml:space="preserve">rozwiązuje zadania problemowe w sposób niekonwencjonalny; potrafi dokonać syntezy </w:t>
      </w:r>
      <w:r>
        <w:rPr>
          <w:color w:val="000000" w:themeColor="text1"/>
          <w:spacing w:val="-4"/>
          <w:w w:val="105"/>
          <w:sz w:val="17"/>
          <w:szCs w:val="17"/>
        </w:rPr>
        <w:t>wiedzy, a </w:t>
      </w:r>
      <w:r>
        <w:rPr>
          <w:color w:val="000000" w:themeColor="text1"/>
          <w:w w:val="105"/>
          <w:sz w:val="17"/>
          <w:szCs w:val="17"/>
        </w:rPr>
        <w:t>na tej podstawie sformułować hipotezy badawcze i zaproponować sposób ich weryfikacji; samodzielnie prowadzi badania o charakterze naukowym; z własnej inicjatywy pogłębia wiedzę, korzystając z </w:t>
      </w:r>
      <w:r>
        <w:rPr>
          <w:color w:val="000000" w:themeColor="text1"/>
          <w:spacing w:val="-3"/>
          <w:w w:val="105"/>
          <w:sz w:val="17"/>
          <w:szCs w:val="17"/>
        </w:rPr>
        <w:t>róż</w:t>
      </w:r>
      <w:r>
        <w:rPr>
          <w:color w:val="000000" w:themeColor="text1"/>
          <w:w w:val="105"/>
          <w:sz w:val="17"/>
          <w:szCs w:val="17"/>
        </w:rPr>
        <w:t>nych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źródeł;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poszukuje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zastosowań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wiedzy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praktyce;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dzieli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się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wiedzą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innymi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uczniami;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osiąga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sukcesy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konkursach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pozaszkolnych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dziedziny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fizyki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lub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olim</w:t>
      </w:r>
      <w:bookmarkStart w:id="0" w:name="_GoBack"/>
      <w:bookmarkEnd w:id="0"/>
      <w:r>
        <w:rPr>
          <w:color w:val="000000" w:themeColor="text1"/>
          <w:w w:val="105"/>
          <w:sz w:val="17"/>
          <w:szCs w:val="17"/>
        </w:rPr>
        <w:t>piadzie</w:t>
      </w:r>
      <w:r>
        <w:rPr>
          <w:color w:val="000000" w:themeColor="text1"/>
          <w:spacing w:val="-14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fizycznej).</w:t>
      </w:r>
    </w:p>
    <w:p>
      <w:pPr>
        <w:pStyle w:val="Nagwek1"/>
        <w:overflowPunct w:val="false"/>
        <w:spacing w:lineRule="auto" w:line="360" w:before="120" w:after="0"/>
        <w:ind w:left="454" w:right="567" w:hanging="0"/>
        <w:rPr>
          <w:rFonts w:ascii="Arial" w:hAnsi="Arial" w:cs="Arial"/>
          <w:b/>
          <w:b/>
          <w:color w:val="000000" w:themeColor="text1"/>
          <w:w w:val="10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9" wp14:anchorId="6951AF98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8425" cy="98425"/>
                <wp:effectExtent l="0" t="0" r="0" b="0"/>
                <wp:wrapNone/>
                <wp:docPr id="2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20" cy="97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000000" w:themeColor="text1"/>
          <w:w w:val="105"/>
        </w:rPr>
        <w:t>Wymagania ogólne – uczeń: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wykorzystuje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pojęcia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wielkości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fizyczne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do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opisu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zjawisk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wskazuje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ich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przykłady</w:t>
      </w:r>
      <w:r>
        <w:rPr>
          <w:color w:val="000000" w:themeColor="text1"/>
          <w:spacing w:val="-8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otoczeniu,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rozwiązuje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spacing w:val="-3"/>
          <w:w w:val="105"/>
          <w:sz w:val="17"/>
          <w:szCs w:val="17"/>
        </w:rPr>
        <w:t>problemy,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wykorzystując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prawa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zależności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fizyczne,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spacing w:val="-3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planuje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przeprowadza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obserwacje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doświadczenia,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wnioskuje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na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podstawie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ich</w:t>
      </w:r>
      <w:r>
        <w:rPr>
          <w:color w:val="000000" w:themeColor="text1"/>
          <w:spacing w:val="-10"/>
          <w:w w:val="105"/>
          <w:sz w:val="17"/>
          <w:szCs w:val="17"/>
        </w:rPr>
        <w:t xml:space="preserve"> </w:t>
      </w:r>
      <w:r>
        <w:rPr>
          <w:color w:val="000000" w:themeColor="text1"/>
          <w:spacing w:val="-3"/>
          <w:w w:val="105"/>
          <w:sz w:val="17"/>
          <w:szCs w:val="17"/>
        </w:rPr>
        <w:t>wyników,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26" w:leader="none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posługuje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się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informacjami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pochodzącymi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analizy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materiałów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źródłowych,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tym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tekstów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 xml:space="preserve">popularnonaukowych. </w:t>
      </w:r>
    </w:p>
    <w:p>
      <w:pPr>
        <w:pStyle w:val="ListParagraph"/>
        <w:tabs>
          <w:tab w:val="clear" w:pos="720"/>
          <w:tab w:val="left" w:pos="709" w:leader="none"/>
        </w:tabs>
        <w:overflowPunct w:val="false"/>
        <w:spacing w:lineRule="auto" w:line="276" w:before="0" w:after="0"/>
        <w:ind w:left="454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Ponadto: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sprawnie się komunikuje i stosuje terminologię właściwą dla</w:t>
      </w:r>
      <w:r>
        <w:rPr>
          <w:color w:val="000000" w:themeColor="text1"/>
          <w:spacing w:val="-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fizyki,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kreatywnie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rozwiązuje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problemy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dziedziny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fizyki,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rFonts w:cs="Bookman Old Style" w:ascii="Bookman Old Style" w:hAnsi="Bookman Old Style"/>
          <w:b/>
          <w:bCs/>
          <w:color w:val="000000" w:themeColor="text1"/>
          <w:w w:val="105"/>
          <w:sz w:val="17"/>
          <w:szCs w:val="17"/>
        </w:rPr>
        <w:t>świadomie</w:t>
      </w:r>
      <w:r>
        <w:rPr>
          <w:rFonts w:cs="Bookman Old Style" w:ascii="Bookman Old Style" w:hAnsi="Bookman Old Style"/>
          <w:b/>
          <w:bCs/>
          <w:color w:val="000000" w:themeColor="text1"/>
          <w:spacing w:val="-2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wykorzystując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metody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narzędzia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wywodzące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się</w:t>
      </w:r>
      <w:r>
        <w:rPr>
          <w:color w:val="000000" w:themeColor="text1"/>
          <w:spacing w:val="-9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informatyki,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posługuje</w:t>
      </w:r>
      <w:r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się</w:t>
      </w:r>
      <w:r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nowoczesnymi</w:t>
      </w:r>
      <w:r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technologiami</w:t>
      </w:r>
      <w:r>
        <w:rPr>
          <w:color w:val="000000" w:themeColor="text1"/>
          <w:spacing w:val="-11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informacyjno-komunikacyjnymi,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samodzielnie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dociera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do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informacji,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dokonuje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ich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selekcji,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syntezy</w:t>
      </w:r>
      <w:r>
        <w:rPr>
          <w:color w:val="000000" w:themeColor="text1"/>
          <w:spacing w:val="2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wartościowania;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rzetelnie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korzysta</w:t>
      </w:r>
      <w:r>
        <w:rPr>
          <w:color w:val="000000" w:themeColor="text1"/>
          <w:spacing w:val="2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różnych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źródeł</w:t>
      </w:r>
      <w:r>
        <w:rPr>
          <w:color w:val="000000" w:themeColor="text1"/>
          <w:spacing w:val="2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informacji,</w:t>
      </w:r>
      <w:r>
        <w:rPr>
          <w:color w:val="000000" w:themeColor="text1"/>
          <w:spacing w:val="2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tym</w:t>
      </w:r>
      <w:r>
        <w:rPr>
          <w:color w:val="000000" w:themeColor="text1"/>
          <w:spacing w:val="2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internetu,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0"/>
        <w:ind w:left="568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uczy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się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systematycznie,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buduje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prawidłowe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związki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przyczynowo-skutkowe,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porządkuje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pogłębia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zdobytą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wiedzę,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567" w:leader="none"/>
          <w:tab w:val="left" w:pos="709" w:leader="none"/>
        </w:tabs>
        <w:overflowPunct w:val="false"/>
        <w:spacing w:lineRule="auto" w:line="276" w:before="0" w:after="120"/>
        <w:ind w:left="568" w:right="567" w:hanging="28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współpracuje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w </w:t>
      </w:r>
      <w:r>
        <w:rPr>
          <w:color w:val="000000" w:themeColor="text1"/>
          <w:w w:val="105"/>
          <w:sz w:val="17"/>
          <w:szCs w:val="17"/>
        </w:rPr>
        <w:t>grupie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i </w:t>
      </w:r>
      <w:r>
        <w:rPr>
          <w:color w:val="000000" w:themeColor="text1"/>
          <w:w w:val="105"/>
          <w:sz w:val="17"/>
          <w:szCs w:val="17"/>
        </w:rPr>
        <w:t>realizuje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projekty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edukacyjne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z </w:t>
      </w:r>
      <w:r>
        <w:rPr>
          <w:color w:val="000000" w:themeColor="text1"/>
          <w:w w:val="105"/>
          <w:sz w:val="17"/>
          <w:szCs w:val="17"/>
        </w:rPr>
        <w:t>dziedziny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fizyki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lub</w:t>
      </w:r>
      <w:r>
        <w:rPr>
          <w:color w:val="000000" w:themeColor="text1"/>
          <w:spacing w:val="-4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astronomii.</w:t>
      </w:r>
      <w:r>
        <w:br w:type="page"/>
      </w:r>
    </w:p>
    <w:tbl>
      <w:tblPr>
        <w:tblW w:w="4950" w:type="pct"/>
        <w:jc w:val="left"/>
        <w:tblInd w:w="0" w:type="dxa"/>
        <w:tblLayout w:type="fixed"/>
        <w:tblCellMar>
          <w:top w:w="108" w:type="dxa"/>
          <w:left w:w="57" w:type="dxa"/>
          <w:bottom w:w="108" w:type="dxa"/>
          <w:right w:w="57" w:type="dxa"/>
        </w:tblCellMar>
        <w:tblLook w:firstRow="0" w:noVBand="0" w:lastRow="0" w:firstColumn="0" w:lastColumn="0" w:noHBand="0" w:val="0000"/>
      </w:tblPr>
      <w:tblGrid>
        <w:gridCol w:w="3526"/>
        <w:gridCol w:w="3809"/>
        <w:gridCol w:w="3387"/>
        <w:gridCol w:w="3138"/>
      </w:tblGrid>
      <w:tr>
        <w:trPr>
          <w:tblHeader w:val="true"/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pageBreakBefore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526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09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387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38" w:type="dxa"/>
            <w:tcBorders>
              <w:top w:val="single" w:sz="8" w:space="0" w:color="93C73C"/>
              <w:left w:val="single" w:sz="4" w:space="0" w:color="93C73C"/>
              <w:bottom w:val="single" w:sz="8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false"/>
              <w:ind w:left="0" w:hanging="0"/>
              <w:jc w:val="center"/>
              <w:rPr>
                <w:rFonts w:ascii="Arial" w:hAnsi="Arial" w:cs="Arial"/>
                <w:b/>
                <w:b/>
                <w:color w:val="000000" w:themeColor="text1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000000" w:themeColor="text1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8" w:space="0" w:color="93C73C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7. Hydrostatyka i wstęp do zjawisk cieplnych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wraz z jednostką oraz prawem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Pascala; rozróżnia parcie i ciśnienie,</w:t>
            </w:r>
            <w:r>
              <w:rPr>
                <w:color w:val="000000" w:themeColor="text1"/>
                <w:sz w:val="15"/>
                <w:szCs w:val="15"/>
              </w:rPr>
              <w:t xml:space="preserve"> stosuje w obliczeniach związek między parciem a ciśnieniem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gęstości</w:t>
            </w:r>
            <w:r>
              <w:rPr>
                <w:color w:val="000000" w:themeColor="text1"/>
                <w:sz w:val="15"/>
                <w:szCs w:val="15"/>
              </w:rPr>
              <w:t xml:space="preserve"> wraz z jej jednostką; stosuje w obliczeniach związek gęstości z masą i objętością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 w:themeColor="text1"/>
                <w:sz w:val="15"/>
                <w:szCs w:val="15"/>
              </w:rPr>
              <w:t>ciśnienia hydrostatycznego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ciśnienia atmosferycznego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 xml:space="preserve">siły wyporu </w:t>
            </w:r>
            <w:r>
              <w:rPr>
                <w:color w:val="000000" w:themeColor="text1"/>
                <w:sz w:val="15"/>
                <w:szCs w:val="15"/>
              </w:rPr>
              <w:t>oraz prawem Archimedesa dla cieczy i gazów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energia kinetyczna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temperatura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energia wewnętrzna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zero bezwzględne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skalami temperatury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Kelvina i Celsjusza oraz zależnością </w:t>
            </w:r>
            <w:r>
              <w:rPr>
                <w:color w:val="000000" w:themeColor="text1"/>
                <w:sz w:val="15"/>
                <w:szCs w:val="15"/>
              </w:rPr>
              <w:t>między nimi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przekaz energii w postaci ciepła między układami o różnych temperaturach i przekaz energii w formie pracy; wyjaśnia, kiedy ciała znajdują się w stanie równowagi termodynamicznej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posługuje si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 xml:space="preserve">ę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i opisuje formy przekazywania energii w postaci ciepła: przewodnictwo cieplne i konwekcję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zjawiska topnienia, krzepnięcia, wrzenia, skraplania, sublimacji i resublimacji jako procesy, w których dostarczanie energii w postaci ciepła nie powoduje zmiany temperatury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08" w:hanging="108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ciepło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5"/>
              </w:rPr>
              <w:t>właściwe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ciepło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bilans cieplny</w:t>
            </w:r>
            <w:r>
              <w:rPr>
                <w:color w:val="000000" w:themeColor="text1"/>
                <w:sz w:val="15"/>
                <w:szCs w:val="15"/>
              </w:rPr>
              <w:t>; wyjaśnia, co nazywamy bilansem cieplnym, i wskazuje jego zastosowania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wyodrębnia z tabel wartości ciepła właściwego i ciepła przemiany fazowej różnych substancji i porównuje je, wykorzystuje pojęcia </w:t>
            </w:r>
            <w:r>
              <w:rPr>
                <w:i/>
                <w:color w:val="000000" w:themeColor="text1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ciepła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 w jakościowej analizie bilansu cieplnego, wykonuje obliczenia szacunkowe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przenoszeniem ciśnienia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równowagę cieczy w naczyniach połączonych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demonstruje zależność ciśnienia hydrostatycznego od wysokości słupa cieczy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stałość temperatury podczas przemiany fazowej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bada rozszerzalność cieplną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cieczy (wody) i gazu (powietrza)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demonstruje rozszerzalność </w:t>
            </w:r>
            <w:r>
              <w:rPr>
                <w:b/>
                <w:bCs/>
                <w:color w:val="000000" w:themeColor="text1"/>
                <w:spacing w:val="-2"/>
                <w:sz w:val="15"/>
                <w:szCs w:val="15"/>
              </w:rPr>
              <w:t>cieplną wybranych ciał stałych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formułuje 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pojęciem ciśnienia oraz prostymi urządzeniami hydraulicznymi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ciśnieniem hydrostatycznym i atmosferycznym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wykorzystując prawo Archimedesa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wykorzystując związek między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energią kinetyczną a temperaturą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oraz </w:t>
            </w:r>
            <w:r>
              <w:rPr>
                <w:i/>
                <w:color w:val="000000" w:themeColor="text1"/>
                <w:sz w:val="15"/>
                <w:szCs w:val="15"/>
              </w:rPr>
              <w:t>wartości energetycznej paliw i żywności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zjawiskami cieplnymi w przyrodzie,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wykonuje obliczenia i zapisuje wynik zgodnie z zasadami zaokrąglania, z zachowaniem liczby cyfr znaczących wynikającej z dokładności danych 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pojęcie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do wyjaśniania zjawisk, wyjaśnia zjawiska za pomocą prawa Pascala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przykłady praktycznych zastosowań prawa Pascala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w obliczeniach związek między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ciśnieniem hydrostatycznym a wysokością słupa cieczy i jej gęstością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prawo naczyń połączonych i analizuje równowagę cieczy w naczyniach połączonych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pojęcia </w:t>
            </w:r>
            <w:r>
              <w:rPr>
                <w:i/>
                <w:color w:val="000000" w:themeColor="text1"/>
                <w:sz w:val="15"/>
                <w:szCs w:val="15"/>
              </w:rPr>
              <w:t>ciśnienia hydrostatycznego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ciśnienia atmosferycznego</w:t>
            </w:r>
            <w:r>
              <w:rPr>
                <w:color w:val="000000" w:themeColor="text1"/>
                <w:sz w:val="15"/>
                <w:szCs w:val="15"/>
              </w:rPr>
              <w:t xml:space="preserve"> do wyjaśniania zjawisk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stosuje w obliczeniach prawo Archimedesa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siły działające na ciało całkowicie i częściowo zanurzone w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cieczy, opisuje warunki pływania ciał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przedstawia podstawy kinetyczno-molekularnej teorii budowy materii,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posługuje się założeniami tej teorii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wyjaśnia, od czego zależy energia wewnętrzna i jaki ma ona związek z temperaturą; wskazuje różnice między tymi pojęciami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zjawisko dyfuzji oraz ruchy Browna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wykorzystuje pojęcie </w:t>
            </w:r>
            <w:r>
              <w:rPr>
                <w:i/>
                <w:color w:val="000000" w:themeColor="text1"/>
                <w:spacing w:val="-6"/>
                <w:sz w:val="15"/>
                <w:szCs w:val="15"/>
              </w:rPr>
              <w:t xml:space="preserve">ciepła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właściwego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 w </w:t>
            </w:r>
            <w:r>
              <w:rPr>
                <w:color w:val="000000" w:themeColor="text1"/>
                <w:sz w:val="15"/>
                <w:szCs w:val="15"/>
              </w:rPr>
              <w:t>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przekazywanie energii w postaci ciepła przez promieniowanie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wartości energetycznej paliw i żywności</w:t>
            </w:r>
            <w:r>
              <w:rPr>
                <w:color w:val="000000" w:themeColor="text1"/>
                <w:sz w:val="15"/>
                <w:szCs w:val="15"/>
              </w:rPr>
              <w:t xml:space="preserve"> wraz z jednostką; stosuje to pojęcie w obliczeniach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przykłady współistnienia substancji w różnych fazach w stanie równowagi termodynamicznej; szkicuje i objaśnia wykres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Q</w:t>
            </w:r>
            <w:r>
              <w:rPr>
                <w:color w:val="000000" w:themeColor="text1"/>
                <w:sz w:val="15"/>
                <w:szCs w:val="15"/>
              </w:rPr>
              <w:t>) dla wody w trzech stanach skupienia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 w:themeColor="text1"/>
                <w:sz w:val="15"/>
                <w:szCs w:val="15"/>
              </w:rPr>
              <w:t>ciepła parowania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ciepła topnienia</w:t>
            </w:r>
            <w:r>
              <w:rPr>
                <w:color w:val="000000" w:themeColor="text1"/>
                <w:sz w:val="15"/>
                <w:szCs w:val="15"/>
              </w:rPr>
              <w:t xml:space="preserve"> wraz z ich jednostką, wykorzystuje te pojęcia w 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odróżnia parowanie powierzchniowe od wrzenia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wykorzystuje pojęcia </w:t>
            </w:r>
            <w:r>
              <w:rPr>
                <w:i/>
                <w:color w:val="000000" w:themeColor="text1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z w:val="15"/>
                <w:szCs w:val="15"/>
              </w:rPr>
              <w:t xml:space="preserve"> oraz </w:t>
            </w:r>
            <w:r>
              <w:rPr>
                <w:i/>
                <w:color w:val="000000" w:themeColor="text1"/>
                <w:sz w:val="15"/>
                <w:szCs w:val="15"/>
              </w:rPr>
              <w:t>ciepła przemiany fazowej</w:t>
            </w:r>
            <w:r>
              <w:rPr>
                <w:color w:val="000000" w:themeColor="text1"/>
                <w:sz w:val="15"/>
                <w:szCs w:val="15"/>
              </w:rPr>
              <w:t xml:space="preserve"> w analizie bilansu cieplnego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zjawisko rozszerzalności cieplnej: liniowej ciał stałych oraz objętościowej gazów i cieczy, wskazuje jego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omawia na przykładach znaczenie praktyczne rozszerzalności cieplnej ciał stałych; opisuje i wyjaśnia nietypową rozszerzalność cieplną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wody i jej znaczenie dla życia na Ziemi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wymienia szczególne własności wody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ich konsekwencje dla życia na Ziemi; </w:t>
            </w:r>
            <w:r>
              <w:rPr>
                <w:color w:val="000000" w:themeColor="text1"/>
                <w:sz w:val="15"/>
                <w:szCs w:val="15"/>
              </w:rPr>
              <w:t>wyjaśnia znaczenie wartości ciepła właściwego i ciepła parowania wody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i omawia przykłady zjawisk cieplnych w przyrodzie ożywionej i nieożywionej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bada, od czego zależy, a od czego nie zależy energia potencjalna ciała, korzystając z opisu doświadczenia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bada proces wyrównywania temperatury ciał</w:t>
            </w:r>
            <w:r>
              <w:rPr>
                <w:color w:val="000000" w:themeColor="text1"/>
                <w:sz w:val="15"/>
                <w:szCs w:val="15"/>
              </w:rPr>
              <w:t xml:space="preserve">, wyznacza ciepło właściwe cieczy, sporządza i interpretuje wykresy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bada proces wyrównywania temperatury ciał i posługuje się bilansem cieplnym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przedstawia, analizuje i opracowuje wyniki, uwzględnia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niepewności pomiarów i formułuje wnioski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ciśnieniem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hydrostatycznym i atmosferycznym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wykorzystując prawo Archimedesa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wykorzystując związek między energią kinetyczną a temperaturą 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wartości energetycznej paliw i żywności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ze zjawiskami cieplnymi w przyrodzie,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tablicami fizycznymi, kartą wybranych</w:t>
            </w:r>
            <w:r>
              <w:rPr>
                <w:color w:val="000000" w:themeColor="text1"/>
                <w:sz w:val="15"/>
                <w:szCs w:val="15"/>
              </w:rPr>
              <w:t xml:space="preserve">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wykonuje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wynik, sporządza i interpretuje wykresy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posługuje się informacjami pochodzącymi z analizy przedstawionych materiałów źródłowych, w tym tekstów popularnonaukowych, lub zaczerpniętych z internetu, dotyczącymi w szczególności: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ciśnienia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siły wyporu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przemian fazowych</w:t>
            </w:r>
          </w:p>
          <w:p>
            <w:pPr>
              <w:pStyle w:val="Table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dokonuje syntezy wiedzy z hydrostatyki i wiadomości o zjawiskach cieplnych; przedstawia najważniejsze pojęcia, 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zasadę działania wybranych urządzeń hydraulicznych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doświadczalnie wyznacza ciśnienie atmosferyczne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wzór na ciśnienie hydrostatyczne; opisuje i wyjaśnia paradoks hydrostatyczny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wyjaśnia, od czego i jak zależy ciśnienie atmosferyczne; porównuje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zmiany ciśnienia w słupie cieczy i słupie powietrza, wyjaśnia różnicę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uzasadnia (wyprowadza) wzór na siłę wyporu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wyjaśnia, od czego zależy stabilność łodzi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związek między temperaturą w skali Kelvina a średnią energią ruchu cząsteczek, stosuje go w obliczeniach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fluktuacji</w:t>
            </w:r>
            <w:r>
              <w:rPr>
                <w:color w:val="000000" w:themeColor="text1"/>
                <w:sz w:val="15"/>
                <w:szCs w:val="15"/>
              </w:rPr>
              <w:t>, wyjaśnia, na czym polegają ruchy Browna; wyjaśnia, na czym polegało odkrycie Smoluchowskiego i Einsteina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doświadczalnie wyznacza ciepło parowania wody, analizuje i opracowuje wyniki,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demonstruje zależność temperatury wrzenia od ciśnienia atmosferycznego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skokową zmianę energii wewnętrznej w przemianach fazowych; wyjaśnia mechanizm przemian fazowych z mikroskopowego punktu widzenia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opisuje i wyjaśnia zależność temperatury wrzenia od ciśnienia atmosferycznego; podaje przykłady skutków i wykorzystania tej zależności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wyjaśnia przyczynę rozszerzalności cieplnej, odwołując się do cząsteczkowej budowy materii (budowy mikroskopowej ciał stałych, cieczy i gazów)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wpływ konwekcji na klimat Ziemi, porównuje obieg powietrza wynikający z konwekcji, gdyby Ziemia się nie obracała, i na obracającej się Ziemi, uwzględniając siłę Coriolisa; opisuje wykorzystywanie promieniowania cieplnego przez organizmy żywe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planuje i modyfikuje przebieg doświadczeń (formułuje hipotezę i prezentuje kroki niezbędne do jej weryfikacji):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związanych z przenoszeniem ciśnienia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dotyczących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badania procesu wyrównywania temperatury ciał i posługiwania się bilansem cieplnym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dotyczących badania rozszerzalności cieplnej cieczy i gazu oraz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demonstracji rozszerzalności cieplnej wybranych ciał stałych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ciśnieniem hydrostatycznym i ciśnieniem atmosferycznym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z wykorzystaniem prawa Archimedesa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wykorzystując związek między energią kinetyczną a temperaturą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ciami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wartości energetycznej paliw i żywności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zjawiskami cieplnymi w przyrodzie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projekt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Fontanna Herona </w:t>
            </w:r>
            <w:r>
              <w:rPr>
                <w:color w:val="000000" w:themeColor="text1"/>
                <w:sz w:val="15"/>
                <w:szCs w:val="15"/>
              </w:rPr>
              <w:t>opisany w podręczniku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samodzielnie wyszukuje i analizuje materiały źródłowe, w tym teksty popularnonaukowe, 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Hydrostatyka i wstęp do zjawisk cieplnych</w:t>
            </w:r>
            <w:r>
              <w:rPr>
                <w:color w:val="000000" w:themeColor="text1"/>
                <w:sz w:val="15"/>
                <w:szCs w:val="15"/>
              </w:rPr>
              <w:t>, posługuje się informacjami pochodzącymi z analizy tych materiałów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pojęciem </w:t>
            </w:r>
            <w:r>
              <w:rPr>
                <w:i/>
                <w:color w:val="000000" w:themeColor="text1"/>
                <w:sz w:val="15"/>
                <w:szCs w:val="15"/>
              </w:rPr>
              <w:t>ciśnienia</w:t>
            </w:r>
            <w:r>
              <w:rPr>
                <w:color w:val="000000" w:themeColor="text1"/>
                <w:sz w:val="15"/>
                <w:szCs w:val="15"/>
              </w:rPr>
              <w:t xml:space="preserve"> oraz urządzeniami hydraulicznymi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ciśnieniem hydrostatycznym i ciśnieniem atmosferycznym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siłą wyporu, z wykorzystaniem prawa Archimedesa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 wykorzystaniem związku między energią kinetyczną a temperaturą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poj</w:t>
            </w:r>
            <w:r>
              <w:rPr>
                <w:rFonts w:eastAsia="TimesNewRoman"/>
                <w:color w:val="000000" w:themeColor="text1"/>
                <w:spacing w:val="-2"/>
                <w:sz w:val="15"/>
                <w:szCs w:val="15"/>
              </w:rPr>
              <w:t>ę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ciepła właściwego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oraz </w:t>
            </w:r>
            <w:r>
              <w:rPr>
                <w:color w:val="000000" w:themeColor="text1"/>
                <w:sz w:val="15"/>
                <w:szCs w:val="15"/>
              </w:rPr>
              <w:t xml:space="preserve">pojęciem </w:t>
            </w:r>
            <w:r>
              <w:rPr>
                <w:i/>
                <w:color w:val="000000" w:themeColor="text1"/>
                <w:sz w:val="15"/>
                <w:szCs w:val="15"/>
              </w:rPr>
              <w:t>wartości energetycznej paliw i żywności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przemianami fazowymi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bilansem cieplnym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rozszerzalnością cieplną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zjawiskami cieplnymi w przyrodzie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projektuje, wykonuje i demonstruje działający model fontanny Herona; formułuje i weryfikuje hipotezy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własny projekt związany z treścią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bCs/>
                <w:i/>
                <w:iCs/>
                <w:color w:val="000000" w:themeColor="text1"/>
                <w:sz w:val="15"/>
                <w:szCs w:val="15"/>
              </w:rPr>
              <w:t>Hydrostatyka i wstęp do zjawisk cieplnych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8. Termodynamika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wielkości opisujące gaz oraz przyczynę wytwarzania ciśnienia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przez gaz; posługuje się pojęciami: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mol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stała Avogadra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przemiany gazu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model gazu doskonałego; posługuje się założeniami teorii kinetyczno-molekularnej gazu doskonałego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pierwszą zasadę termodynamiki i analizuje ją jako zasadę zachowania energii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energii wewnętrznej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 przedstawia związek między</w:t>
            </w:r>
            <w:r>
              <w:rPr>
                <w:color w:val="000000" w:themeColor="text1"/>
                <w:sz w:val="15"/>
                <w:szCs w:val="15"/>
              </w:rPr>
              <w:t xml:space="preserve"> temperaturą a średnią energią ruchu cząsteczek i energią wewnętrzną gazu doskonałego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informuje, że wartość bezwzględna pracy wykonanej przez gaz w każdej przemianie gazowej jest liczbowo równa polu pod wykresem przemiany w układzie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podaje definicję silnika cieplnego, omawia jego schemat, rozróżnia grzejnik i chłodnicę,</w:t>
            </w:r>
            <w:r>
              <w:rPr>
                <w:color w:val="000000" w:themeColor="text1"/>
                <w:sz w:val="15"/>
                <w:szCs w:val="15"/>
              </w:rPr>
              <w:t xml:space="preserve"> podaje przykłady wykorzystania silników cieplnych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przykłady wykorzystywania pomp cieplnych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określa kierunek przekazu energii w postaci ciepła między układami o różnych temperaturach; rozróżnia zjawiska odwracalne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nieodwracalne , podaje ich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wykonuje doświadczenie, korzystając z jego opisu – sprawdza temperaturę różnych elementów tylnej części lodówki, wyjaśnia wynik swoich obserwacji i formułuje wniosek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danych 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przemiany gazu: izotermiczną, izobaryczną, izochoryczną i adiabatyczną; wskazuje przykłady przemian gazu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pierwszą zasadę termodynamiki w analizie przemian gazowych; omawia zależności opisujące przemiany gazu: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izotermiczną, izobaryczną i izochoryczną,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stosuje je w obliczeniach; opisuje zjawisko</w:t>
            </w:r>
            <w:r>
              <w:rPr>
                <w:color w:val="000000" w:themeColor="text1"/>
                <w:sz w:val="15"/>
                <w:szCs w:val="15"/>
              </w:rPr>
              <w:t xml:space="preserve"> rozszerzalności objętościowej gazów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identyfikuje, interpretuje i analizuje wykresy przemian gazu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doskonałego: izotermicznej,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oraz objaśnia i interpretuje równanie gazu doskonałego (równanie Clapeyrona);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stałej gazowej</w:t>
            </w:r>
            <w:r>
              <w:rPr>
                <w:color w:val="000000" w:themeColor="text1"/>
                <w:sz w:val="15"/>
                <w:szCs w:val="15"/>
              </w:rPr>
              <w:t>, podaje jej wartość wraz z jednostką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równanie gazu doskonałego (równanie Clapeyrona) do wyznaczania parametrów gazu i wyjaśniania zjawisk fizycznych oraz w obliczeniach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pierwszą zasadę termodynamiki do analizy przemian gazowych, zapisuje ją, uwzględniając w szczególnych przypadkach znaki ciepła i pracy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Q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W</w:t>
            </w:r>
            <w:r>
              <w:rPr>
                <w:iCs/>
                <w:color w:val="000000" w:themeColor="text1"/>
                <w:sz w:val="15"/>
                <w:szCs w:val="15"/>
              </w:rPr>
              <w:t>),</w:t>
            </w:r>
            <w:r>
              <w:rPr>
                <w:color w:val="000000" w:themeColor="text1"/>
                <w:sz w:val="15"/>
                <w:szCs w:val="15"/>
              </w:rPr>
              <w:t xml:space="preserve"> zgodnie z przyjętą konwencją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 xml:space="preserve">ciepła molowego gazu </w:t>
            </w:r>
            <w:r>
              <w:rPr>
                <w:color w:val="000000" w:themeColor="text1"/>
                <w:sz w:val="15"/>
                <w:szCs w:val="15"/>
              </w:rPr>
              <w:t xml:space="preserve">wraz z jednostką; rozróżnia ciepło molowe przy stałym ciśnieniu i ciepło molowe w stałej objętości, uzasadnia, że dla danego gazu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 xml:space="preserve"> &gt;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V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oblicza zmiany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oblicza pracę jako pole pod wykresem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 przedstawiającym przemianę izobaryczną; wykazuje, że w przemianie izochorycznej praca jest równa zero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oblicza ciepło pobrane i ciepło oddane przez gaz na podstawie wykresu przemiany tego gazu i pierwszej zasady termodynamiki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przepływ energii w postaci ciepła i pracy mechanicznej w silnikach cieplnych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na wybranym przykładzie, co to jest cykl termodynamiczny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sprawności silnika cieplnego</w:t>
            </w:r>
            <w:r>
              <w:rPr>
                <w:color w:val="000000" w:themeColor="text1"/>
                <w:sz w:val="15"/>
                <w:szCs w:val="15"/>
              </w:rPr>
              <w:t>, oblicza i porównuje sprawność silników cieplnych, krytycznie ocenia obliczoną sprawność i wskazuje przyczyny strat energii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wyjaśnia na przykładzie lodówki, że pompa cieplna działa odwrotnie niż silnik cieplny; opisuje schemat pompy cieplnej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i analizuje przepływ energii w postaci ciepła i pracy mechanicznej w pompach cieplnych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podaje wzór na maksymalną sprawność silnika cieplnego oraz czynniki, od jakich ona zależy;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oblicza maksymalną sprawność silnika cieplnego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drugą zasadę termodynamiki w kontekście kierunku przekazu energii w postaci ciepła i w kontekście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silników cieplnych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interpretuje drugą zasadę termodynamiki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przeprowadza doświadczenia, korzystając z ich opisów – bada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przemiany izotermiczną i izobaryczną, </w:t>
            </w:r>
            <w:r>
              <w:rPr>
                <w:color w:val="000000" w:themeColor="text1"/>
                <w:sz w:val="15"/>
                <w:szCs w:val="15"/>
              </w:rPr>
              <w:t xml:space="preserve">przedstawia, opracowuje i analizuje wyniki,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sporządza oraz interpretuje</w:t>
            </w:r>
            <w:r>
              <w:rPr>
                <w:color w:val="000000" w:themeColor="text1"/>
                <w:sz w:val="15"/>
                <w:szCs w:val="15"/>
              </w:rPr>
              <w:t xml:space="preserve"> wykresy odpowiednio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 i 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), formułuje wnioski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dotyczące silników spalinowych;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analizuje wykresy cykli pracy </w:t>
            </w:r>
            <w:r>
              <w:rPr>
                <w:color w:val="000000" w:themeColor="text1"/>
                <w:sz w:val="15"/>
                <w:szCs w:val="15"/>
              </w:rPr>
              <w:t>silników spalinowych w układzie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), a na tej podstawie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wyznacza ciepło pobrane, ciepło oddane, wykonaną pracę i sprawność cyklu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drugą zasadą termodynamiki,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>posługuje się materiałami pomocniczymi, w tym tablicami fizycznymi, kartą wybranych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wykonuje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wynik, analizuje i interpretuje wykresy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pochodzącymi z analizy przedstawionych</w:t>
            </w:r>
            <w:r>
              <w:rPr>
                <w:color w:val="000000" w:themeColor="text1"/>
                <w:sz w:val="15"/>
                <w:szCs w:val="15"/>
              </w:rPr>
              <w:t xml:space="preserve"> materiałów źródłowych, w tym tekstów popularnonaukowych, lub zaczerpniętych z internetu, dotyczącymi w szczególności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analizuje tekst </w:t>
            </w:r>
            <w:r>
              <w:rPr>
                <w:i/>
                <w:color w:val="000000" w:themeColor="text1"/>
                <w:sz w:val="15"/>
                <w:szCs w:val="15"/>
              </w:rPr>
              <w:t>Fizyka nie tylko na lekcjach</w:t>
            </w:r>
            <w:r>
              <w:rPr>
                <w:color w:val="000000" w:themeColor="text1"/>
                <w:sz w:val="15"/>
                <w:szCs w:val="15"/>
              </w:rPr>
              <w:t xml:space="preserve">, wyodrębnia informacje kluczowe, posługuje się nimi i wykorzystuje do rozwiązywania zadań 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spacing w:val="-4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dokonuje syntezy wiedzy z termodynamiki; przedstawia najważniejsze pojęcia, 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porównuje</w:t>
            </w:r>
            <w:r>
              <w:rPr>
                <w:color w:val="000000" w:themeColor="text1"/>
                <w:sz w:val="15"/>
                <w:szCs w:val="15"/>
              </w:rPr>
              <w:t xml:space="preserve"> wykresy przemian gazu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doskonałego: izotermicznej, izobarycznej i izochorycznej, </w:t>
            </w:r>
            <w:r>
              <w:rPr>
                <w:color w:val="000000" w:themeColor="text1"/>
                <w:sz w:val="15"/>
                <w:szCs w:val="15"/>
              </w:rPr>
              <w:t xml:space="preserve">dla różnych parametrów – stałych w danej przemianie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równanie gazu doskonałego (równanie Clapeyrona)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porównuje przemiany izotermiczną i adiabatyczną na wybranych przykładach i wykresach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i opisuje wykresy przemian gazu doskonałego: izotermicznej, izobarycznej i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izochorycznej, w układzie (</w:t>
            </w:r>
            <w:r>
              <w:rPr>
                <w:i/>
                <w:iCs/>
                <w:color w:val="000000" w:themeColor="text1"/>
                <w:spacing w:val="-4"/>
                <w:sz w:val="15"/>
                <w:szCs w:val="15"/>
              </w:rPr>
              <w:t>V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iCs/>
                <w:color w:val="000000" w:themeColor="text1"/>
                <w:spacing w:val="-4"/>
                <w:sz w:val="15"/>
                <w:szCs w:val="15"/>
              </w:rPr>
              <w:t>p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), </w:t>
            </w:r>
            <w:r>
              <w:rPr>
                <w:color w:val="000000" w:themeColor="text1"/>
                <w:sz w:val="15"/>
                <w:szCs w:val="15"/>
              </w:rPr>
              <w:t xml:space="preserve">przedstawia te przemiany na wykresach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 i 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wykazuje (wyprowadza) i interpretuje oraz stosuje w obliczeniach związek między ciepłem molowym przy stałym ciśnieniu a ciepłem molowym w stałej objętości dla gazu doskonałego; podaje związek między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C</w:t>
            </w:r>
            <w:r>
              <w:rPr>
                <w:i/>
                <w:iCs/>
                <w:color w:val="000000" w:themeColor="text1"/>
                <w:sz w:val="15"/>
                <w:szCs w:val="15"/>
                <w:vertAlign w:val="subscript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 xml:space="preserve"> a stałą </w:t>
            </w:r>
            <w:r>
              <w:rPr>
                <w:i/>
                <w:color w:val="000000" w:themeColor="text1"/>
                <w:sz w:val="15"/>
                <w:szCs w:val="15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 dla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gazów jedno- i dwuatomowych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uzasadnia, że dla przemiany izobarycznej zachodzi 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W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p</m:t>
              </m:r>
              <m:r>
                <w:rPr>
                  <w:rFonts w:ascii="Cambria Math" w:hAnsi="Cambria Math"/>
                </w:rPr>
                <m:t xml:space="preserve">∆</m:t>
              </m:r>
              <m:r>
                <w:rPr>
                  <w:rFonts w:ascii="Cambria Math" w:hAnsi="Cambria Math"/>
                </w:rPr>
                <m:t xml:space="preserve">V</m:t>
              </m:r>
            </m:oMath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możliwość wyznaczenia pracy w przemianach izotermicznej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adiabatycznej metodą graficzną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interpretuje wykresy przemian gazowych z uwzględnieniem kolejności przemian; wykazuje, że praca zależy, a zmiana energii wewnętrznej nie zależy od kolejności przemian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wykazuje, że w cyklu termodynamicznym uzyskana praca jest równa polu wewnątrz figury ograniczonej przez wykresy przemian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p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); analizuje przedstawione cykle termodynamiczne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 zasadę działania wybranych pomp cieplnych, posługując się informacjami pochodzącymi z analizy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materiałów źródłowych, w tym tekstów popularnonaukowych,</w:t>
            </w:r>
            <w:r>
              <w:rPr>
                <w:color w:val="000000" w:themeColor="text1"/>
                <w:sz w:val="15"/>
                <w:szCs w:val="15"/>
              </w:rPr>
              <w:t xml:space="preserve"> lub zaczerpniętych z internetu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współczynnika efektywności pompy cieplnej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analizuje i interpretuje wzór na maksymalną sprawność silnika cieplnego, formułuje i uzasadnia wnioski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opisuje działanie silników spalinowych: czterosuwowego benzynowego oraz Diesla, wskazuje skutki ich użytkowania dla środowiska; wyjaśnia i porównuje wykresy cyklu Otta i cyklu Diesla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uzasadnia równoważność sformułowania </w:t>
            </w:r>
            <w:r>
              <w:rPr>
                <w:color w:val="000000" w:themeColor="text1"/>
                <w:sz w:val="15"/>
                <w:szCs w:val="15"/>
              </w:rPr>
              <w:t>drugi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ej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zasady</w:t>
            </w:r>
            <w:r>
              <w:rPr>
                <w:color w:val="000000" w:themeColor="text1"/>
                <w:sz w:val="15"/>
                <w:szCs w:val="15"/>
              </w:rPr>
              <w:t xml:space="preserve"> termodynamiki w kontekście kierunku przekazu energii w postaci ciepła i w kontekście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silników cieplnych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wykazuje statystyczny charakter drugi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ej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zasady</w:t>
            </w:r>
            <w:r>
              <w:rPr>
                <w:color w:val="000000" w:themeColor="text1"/>
                <w:sz w:val="15"/>
                <w:szCs w:val="15"/>
              </w:rPr>
              <w:t xml:space="preserve"> termodynamiki, odwołując się do modelu rozprężania gazu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 i modyfikuje przebieg badania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przemian gazu, izotermicznej i izobarycznej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gazu, wykorzystując równanie Clapeyrona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gazowych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dotyczące silników spalinowych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drugą zasadą termodynamiki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oraz sporządza wykresy z uwzględnieniem niepewności pomiaru; udowadnia podane zależności</w:t>
            </w:r>
          </w:p>
          <w:p>
            <w:pPr>
              <w:pStyle w:val="Table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samodzielnie wyszukuje i analizuje materiały źródłowe, w 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tym teksty popularnonaukowe,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Termodynamika</w:t>
            </w:r>
            <w:r>
              <w:rPr>
                <w:color w:val="000000" w:themeColor="text1"/>
                <w:sz w:val="15"/>
                <w:szCs w:val="15"/>
              </w:rPr>
              <w:t>, posługuje się informacjami pochodzącymi z analizy tych materiałów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wykorzystuje je do rozwiązywania </w:t>
            </w:r>
            <w:r>
              <w:rPr>
                <w:color w:val="000000" w:themeColor="text1"/>
                <w:sz w:val="15"/>
                <w:szCs w:val="15"/>
              </w:rPr>
              <w:t>zadań lub problemów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i analizuje trójwymiarowy wykres równania Clapeyrona i jego przekroje: izotermę, izobarę i izochorę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i oblicza współczynniki efektywności pompy cieplnej w przypadku chłodzenia i w przypadku ogrzewania za pomocą pompy cieplnej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przemian gazu, wykorzystując równanie Clapeyrona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 przemian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gazu doskonałego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ze zmianami energii wewnętrznej w przemianach izobarycznej i izochorycznej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obliczaniem pracy i zmiany energii wewnętrznej w przemianach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gazowych oraz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wyznacza graficznie pracę w przemianie izotermicznej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analizą cykli termodynamicznych i obliczaniem sprawności silników cieplnych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pomp cieplnych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dotyczące silników spalinowych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drugą zasadą termodynamiki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oraz sporządza wykresy z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>
            <w:pPr>
              <w:pStyle w:val="Table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własny projekt związany z treściami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Termodynamika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9. Ruch drgający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okresu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wraz z ich jednostkami do opisu ruchu okresowego; podaje przykłady zjawisk okresowych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ruch drgający ciała pod wpływem siły sprężystości, posługując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położenia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5"/>
              </w:rPr>
              <w:t>równowagi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wychylenia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>; podaje przykłady takiego ruchu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wyznacza amplitudę i okres drgań na podstawie przedstawionego wykresu zależności położenia od czasu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definiuje ruch harmoniczny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identyfikuje wykresy zależności położenia, prędkości i przyspieszenia od czasu dla ruchu harmonicznego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proporcjonalność siły sprężystości do wydłużenia;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współczynnika sprężystości</w:t>
            </w:r>
            <w:r>
              <w:rPr>
                <w:color w:val="000000" w:themeColor="text1"/>
                <w:sz w:val="15"/>
                <w:szCs w:val="15"/>
              </w:rPr>
              <w:t xml:space="preserve"> i jego jednostką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wahadła matematycznego</w:t>
            </w:r>
            <w:r>
              <w:rPr>
                <w:color w:val="000000" w:themeColor="text1"/>
                <w:sz w:val="15"/>
                <w:szCs w:val="15"/>
              </w:rPr>
              <w:t>, wyjaśnia, czym jest to wahadło, i wskazuje przykład, który jest jego dobrym przybliżeniem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rozróżnia energię potencjalną grawitacji, energię potencjalną sprężystości, energię kinetyczną i całkowitą energię mechaniczną; podaje zasadę zachowania energii i stosuje ją do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jakościowej</w:t>
            </w:r>
            <w:r>
              <w:rPr>
                <w:color w:val="000000" w:themeColor="text1"/>
                <w:sz w:val="15"/>
                <w:szCs w:val="15"/>
              </w:rPr>
              <w:t xml:space="preserve"> analizy przemian energii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1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1"/>
                <w:numId w:val="18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drgań harmonicznych</w:t>
            </w:r>
          </w:p>
          <w:p>
            <w:pPr>
              <w:pStyle w:val="Normal"/>
              <w:widowControl w:val="false"/>
              <w:numPr>
                <w:ilvl w:val="1"/>
                <w:numId w:val="18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1"/>
                <w:numId w:val="18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1"/>
                <w:numId w:val="18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energii w ruchu harmonicznym</w:t>
            </w:r>
          </w:p>
          <w:p>
            <w:pPr>
              <w:pStyle w:val="Normal"/>
              <w:widowControl w:val="false"/>
              <w:numPr>
                <w:ilvl w:val="1"/>
                <w:numId w:val="18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zjawiska rezonansu mechanicznego,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danych 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ruch drgający ciała pod wpływem siły sprężystości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analizuje zależność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 dla ciała w ruchu drgającym i interpretuje wykres tej zależności; opisuje sposób zmniejszania niepewności wyznaczania (pomiaru lub odczytu z wykresu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)) okresu drgań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ruchu harmonicznego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</w:t>
            </w:r>
            <w:r>
              <w:rPr>
                <w:color w:val="000000" w:themeColor="text1"/>
                <w:sz w:val="15"/>
                <w:szCs w:val="15"/>
              </w:rPr>
              <w:t xml:space="preserve"> rozróżnia ruch harmoniczny i ruch nieharmoniczny;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podaje przykłady</w:t>
            </w:r>
            <w:r>
              <w:rPr>
                <w:color w:val="000000" w:themeColor="text1"/>
                <w:sz w:val="15"/>
                <w:szCs w:val="15"/>
              </w:rPr>
              <w:t xml:space="preserve"> takich ruchów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i stosuje w obliczeniach wzory opisujące zależność położenia, prędkości i przyspieszenia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>od czasu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opisuje ruch harmoniczny, posługując się pojęciami: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wychylenia,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częstości kołowej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fazy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przesunięcia fazowego</w:t>
            </w:r>
            <w:r>
              <w:rPr>
                <w:color w:val="000000" w:themeColor="text1"/>
                <w:sz w:val="15"/>
                <w:szCs w:val="15"/>
              </w:rPr>
              <w:t>; rozróżnia drgania o fazach zgodnych i fazach przeciwnych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zależności położenia, prędkości i przyspieszenia od czasu dla ciała w ruchu drgającym harmonicznym, interpretuje wykresy tych zależności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ruch wózka na sprężynie pod wpływem siły sprężystości –drgania w poziomie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podaje, interpretuje i stosuje w obliczeniach wzór na okres wahadła sprężynowego – zależność okresu drgań ciężarka na sprężynie od masy ciężarka i współczynnika sprężystości sprężyny</w:t>
            </w:r>
          </w:p>
          <w:p>
            <w:pPr>
              <w:pStyle w:val="Normal"/>
              <w:widowControl w:val="false"/>
              <w:numPr>
                <w:ilvl w:val="0"/>
                <w:numId w:val="18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>porównuje, analizuje i </w:t>
            </w:r>
            <w:r>
              <w:rPr>
                <w:color w:val="000000" w:themeColor="text1"/>
                <w:sz w:val="15"/>
                <w:szCs w:val="15"/>
              </w:rPr>
              <w:t xml:space="preserve">interpretuje 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wykresy opisujące ruch harmoniczny </w:t>
            </w:r>
            <w:r>
              <w:rPr>
                <w:color w:val="000000" w:themeColor="text1"/>
                <w:sz w:val="15"/>
                <w:szCs w:val="15"/>
              </w:rPr>
              <w:t xml:space="preserve">ciężarka na sprężynie: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v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a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 xml:space="preserve">),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F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8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ruch wahadła matematycznego jako ruch harmoniczny; analizuje siły działające na wahadło matematyczne, przedstawia je graficznie i opisuje</w:t>
            </w:r>
          </w:p>
          <w:p>
            <w:pPr>
              <w:pStyle w:val="Normal"/>
              <w:widowControl w:val="false"/>
              <w:numPr>
                <w:ilvl w:val="0"/>
                <w:numId w:val="18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podaje, interpretuje i stosuje w obliczeniach zależność okresu drgań wahadła matematycznego o małej amplitudzie od jego długości</w:t>
            </w:r>
          </w:p>
          <w:p>
            <w:pPr>
              <w:pStyle w:val="Normal"/>
              <w:widowControl w:val="false"/>
              <w:numPr>
                <w:ilvl w:val="0"/>
                <w:numId w:val="19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w obliczeniach zasadę zachowania energii</w:t>
            </w:r>
          </w:p>
          <w:p>
            <w:pPr>
              <w:pStyle w:val="Normal"/>
              <w:widowControl w:val="false"/>
              <w:numPr>
                <w:ilvl w:val="0"/>
                <w:numId w:val="19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oblicza energię potencjalną sprężystości i uwzględnia ją w analizie przemian energii</w:t>
            </w:r>
          </w:p>
          <w:p>
            <w:pPr>
              <w:pStyle w:val="Normal"/>
              <w:widowControl w:val="false"/>
              <w:numPr>
                <w:ilvl w:val="0"/>
                <w:numId w:val="19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przemiany energii w ruchu harmonicznym ciała na sprężynie – ruch w poziomie, oraz w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ruchu wahadła matematycznego</w:t>
            </w:r>
            <w:r>
              <w:rPr>
                <w:color w:val="000000" w:themeColor="text1"/>
                <w:sz w:val="15"/>
                <w:szCs w:val="15"/>
              </w:rPr>
              <w:t>; interpretuje wzory na energię potencjalną, energię kinetyczną i całkowitą energię mechaniczną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19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rozróżnia i opisuje drgania wymuszone i drgania słabo tłumione; przedstawia i porównuje wykresy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 dla drgań harmonicznych bez tłumienia i z tłumieniem</w:t>
            </w:r>
          </w:p>
          <w:p>
            <w:pPr>
              <w:pStyle w:val="Normal"/>
              <w:widowControl w:val="false"/>
              <w:numPr>
                <w:ilvl w:val="0"/>
                <w:numId w:val="19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zjawisko rezonansu mechanicznego, posługując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 drgań własnych</w:t>
            </w:r>
            <w:r>
              <w:rPr>
                <w:color w:val="000000" w:themeColor="text1"/>
                <w:sz w:val="15"/>
                <w:szCs w:val="15"/>
              </w:rPr>
              <w:t xml:space="preserve">; ilustruje to zjawisko na wybranych przykładach, szkicuje wykres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 w przypadku rezonansu</w:t>
            </w:r>
          </w:p>
          <w:p>
            <w:pPr>
              <w:pStyle w:val="Normal"/>
              <w:widowControl w:val="false"/>
              <w:numPr>
                <w:ilvl w:val="0"/>
                <w:numId w:val="19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19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 ruch ciężarka na sprężynie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;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sporządza i interpretuje</w:t>
            </w:r>
            <w:r>
              <w:rPr>
                <w:color w:val="000000" w:themeColor="text1"/>
                <w:sz w:val="15"/>
                <w:szCs w:val="15"/>
              </w:rPr>
              <w:t xml:space="preserve"> wykres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</w:rPr>
              <w:t>)</w:t>
            </w:r>
          </w:p>
          <w:p>
            <w:pPr>
              <w:pStyle w:val="Normal"/>
              <w:widowControl w:val="false"/>
              <w:numPr>
                <w:ilvl w:val="0"/>
                <w:numId w:val="19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i opisuje ruch rzutu punktu poruszającego się po okręgu</w:t>
            </w:r>
          </w:p>
          <w:p>
            <w:pPr>
              <w:pStyle w:val="Normal"/>
              <w:widowControl w:val="false"/>
              <w:numPr>
                <w:ilvl w:val="0"/>
                <w:numId w:val="19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niezależność okresu drgań wahadła sprężynowego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od amplitudy</w:t>
            </w:r>
            <w:r>
              <w:rPr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bada zależność okresu drgań ciężarka od jego masy i od współczynnika sprężystości sprężyny</w:t>
            </w:r>
          </w:p>
          <w:p>
            <w:pPr>
              <w:pStyle w:val="Normal"/>
              <w:widowControl w:val="false"/>
              <w:numPr>
                <w:ilvl w:val="0"/>
                <w:numId w:val="19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niezależność okresu drgań wahadła od amplitudy</w:t>
            </w:r>
            <w:r>
              <w:rPr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 xml:space="preserve">bada zależność okresu drgań od </w:t>
            </w:r>
            <w:r>
              <w:rPr>
                <w:b/>
                <w:color w:val="000000" w:themeColor="text1"/>
                <w:sz w:val="15"/>
                <w:szCs w:val="15"/>
              </w:rPr>
              <w:t>masy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długości wahadła</w:t>
            </w:r>
            <w:r>
              <w:rPr>
                <w:color w:val="000000" w:themeColor="text1"/>
                <w:sz w:val="15"/>
                <w:szCs w:val="15"/>
              </w:rPr>
              <w:t xml:space="preserve">; </w:t>
            </w:r>
            <w:r>
              <w:rPr>
                <w:b/>
                <w:bCs/>
                <w:color w:val="000000" w:themeColor="text1"/>
                <w:sz w:val="15"/>
                <w:szCs w:val="15"/>
              </w:rPr>
              <w:t>wyznacza wartość przyspieszenia ziemskiego za pomocą wahadła matematycznego</w:t>
            </w:r>
          </w:p>
          <w:p>
            <w:pPr>
              <w:pStyle w:val="Normal"/>
              <w:widowControl w:val="false"/>
              <w:numPr>
                <w:ilvl w:val="0"/>
                <w:numId w:val="20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demonstruje zjawisko rezonansu mechanicznego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przedstawia, opracowuje i analizuje wyniki, uwzględnia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niepewności pomiarów i formułuje wnioski</w:t>
            </w:r>
          </w:p>
          <w:p>
            <w:pPr>
              <w:pStyle w:val="Normal"/>
              <w:widowControl w:val="false"/>
              <w:numPr>
                <w:ilvl w:val="0"/>
                <w:numId w:val="20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202"/>
              </w:numPr>
              <w:spacing w:lineRule="auto" w:line="276"/>
              <w:ind w:left="328" w:hanging="164"/>
              <w:rPr>
                <w:color w:val="000000" w:themeColor="text1"/>
                <w:spacing w:val="-4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0"/>
                <w:numId w:val="203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drgań harmonicznych</w:t>
            </w:r>
          </w:p>
          <w:p>
            <w:pPr>
              <w:pStyle w:val="Normal"/>
              <w:widowControl w:val="false"/>
              <w:numPr>
                <w:ilvl w:val="0"/>
                <w:numId w:val="20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20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0"/>
                <w:numId w:val="20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energii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20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zjawiska rezonansu mechanicznego,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tablicami fizycznymi, kartą wybranych</w:t>
            </w:r>
            <w:r>
              <w:rPr>
                <w:color w:val="000000" w:themeColor="text1"/>
                <w:sz w:val="15"/>
                <w:szCs w:val="15"/>
              </w:rPr>
              <w:t xml:space="preserve">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prowadzi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wynik, tworzy, analizuje i interpretuje wykresy</w:t>
            </w:r>
          </w:p>
          <w:p>
            <w:pPr>
              <w:pStyle w:val="Normal"/>
              <w:widowControl w:val="false"/>
              <w:numPr>
                <w:ilvl w:val="0"/>
                <w:numId w:val="20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pochodzącymi z analizy przedstawionych materiałów źródłowych, w tym tekstów popularnonaukowych, lub zaczerpniętych z internetu, dotyczących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Ruch drgający</w:t>
            </w:r>
            <w:r>
              <w:rPr>
                <w:color w:val="000000" w:themeColor="text1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20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ruchu drgającego i zjawisk okresowych </w:t>
            </w:r>
          </w:p>
          <w:p>
            <w:pPr>
              <w:pStyle w:val="Normal"/>
              <w:widowControl w:val="false"/>
              <w:numPr>
                <w:ilvl w:val="0"/>
                <w:numId w:val="21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wahadeł i ich zastosowań</w:t>
            </w:r>
          </w:p>
          <w:p>
            <w:pPr>
              <w:pStyle w:val="Normal"/>
              <w:widowControl w:val="false"/>
              <w:numPr>
                <w:ilvl w:val="0"/>
                <w:numId w:val="21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zjawiska rezonansu mechanicznego, jego przykładów i skutków</w:t>
            </w:r>
          </w:p>
          <w:p>
            <w:pPr>
              <w:pStyle w:val="TableParagraph"/>
              <w:widowControl w:val="false"/>
              <w:numPr>
                <w:ilvl w:val="0"/>
                <w:numId w:val="21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dokonuje syntezy wiedzy o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ruchu drgającym</w:t>
            </w:r>
            <w:r>
              <w:rPr>
                <w:color w:val="000000" w:themeColor="text1"/>
                <w:sz w:val="15"/>
                <w:szCs w:val="15"/>
              </w:rPr>
              <w:t>; przedstawia najważniejsze pojęcia, 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ilustruje graficznie i wyjaśnia wynik obserwacji ruchu rzutu punktu poruszającego się po okręgu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wzory opisujące zależność położenia, prędkości i przyspieszenia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>od czasu w ruchu harmonicznym, wykorzystując funkcje trygonometryczne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wykazuje, że ruch harmoniczny jest wywoływany przez siłę o wartości proporcjonalnej do wychylenia, wyprowadza zależność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m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ω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x</m:t>
              </m:r>
            </m:oMath>
            <w:r>
              <w:rPr>
                <w:color w:val="000000" w:themeColor="text1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rysuje wykresy zależności położenia, prędkości i przyspieszenia od czasu dla ruchu harmonicznego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ruch wahadła sprężynowego – drgania w pionie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porównuje opis matematyczny ruchu wahadła sprężynowego z wynikami doświadczenia – jego badania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wyznacza współczynnik sprężystości na podstawie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wykresu zależności wydłużenia</w:t>
            </w:r>
            <w:r>
              <w:rPr>
                <w:color w:val="000000" w:themeColor="text1"/>
                <w:sz w:val="15"/>
                <w:szCs w:val="15"/>
              </w:rPr>
              <w:t xml:space="preserve"> sprężyny od ciężaru obciążnika, z uwzględnieniem niepewności pomiaru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wyprowadza wzór na okres wahadła sprężynowego; szkicuje wykresy zależności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T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m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) dla danego współczynnika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i 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T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k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) dla danej masy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m</w:t>
            </w:r>
          </w:p>
          <w:p>
            <w:pPr>
              <w:pStyle w:val="Normal"/>
              <w:widowControl w:val="false"/>
              <w:numPr>
                <w:ilvl w:val="0"/>
                <w:numId w:val="21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wyznacza przyspieszenie ziemskie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na podstawie wykresu zależności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l</w:t>
            </w:r>
            <w:r>
              <w:rPr>
                <w:color w:val="000000" w:themeColor="text1"/>
                <w:sz w:val="15"/>
                <w:szCs w:val="15"/>
              </w:rPr>
              <w:t>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T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2</w:t>
            </w:r>
            <w:r>
              <w:rPr>
                <w:color w:val="000000" w:themeColor="text1"/>
                <w:sz w:val="15"/>
                <w:szCs w:val="15"/>
              </w:rPr>
              <w:t>), wraz z niepewnością maksymalną pomiaru</w:t>
            </w:r>
          </w:p>
          <w:p>
            <w:pPr>
              <w:pStyle w:val="Normal"/>
              <w:widowControl w:val="false"/>
              <w:numPr>
                <w:ilvl w:val="0"/>
                <w:numId w:val="21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wzór na okres drgań wahadła matematycznego</w:t>
            </w:r>
          </w:p>
          <w:p>
            <w:pPr>
              <w:pStyle w:val="Normal"/>
              <w:widowControl w:val="false"/>
              <w:numPr>
                <w:ilvl w:val="0"/>
                <w:numId w:val="21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wzory na energię potencjalną, energię kinetyczną i całkowitą energię mechaniczną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21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szkicuje, analizuje i interpretuje wykresy zależności poszczególnych form energii ciała w ruchu harmonicznym od czasu i wychylenia</w:t>
            </w:r>
          </w:p>
          <w:p>
            <w:pPr>
              <w:pStyle w:val="Normal"/>
              <w:widowControl w:val="false"/>
              <w:numPr>
                <w:ilvl w:val="0"/>
                <w:numId w:val="2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analizuje przemiany energii podczas ruchu w pionie obciążnika wiszącego na sprężynie</w:t>
            </w:r>
          </w:p>
          <w:p>
            <w:pPr>
              <w:pStyle w:val="Normal"/>
              <w:widowControl w:val="false"/>
              <w:numPr>
                <w:ilvl w:val="0"/>
                <w:numId w:val="21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planuje i modyfikuje przebieg doświadczeń (formułuje hipotezę i prezentuje kroki niezbędne do jej weryfikacji):</w:t>
            </w:r>
          </w:p>
          <w:p>
            <w:pPr>
              <w:pStyle w:val="Normal"/>
              <w:widowControl w:val="false"/>
              <w:numPr>
                <w:ilvl w:val="0"/>
                <w:numId w:val="21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>demonstracji niezależności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okresu drgań wahadła od amplitudy</w:t>
            </w:r>
          </w:p>
          <w:p>
            <w:pPr>
              <w:pStyle w:val="Normal"/>
              <w:widowControl w:val="false"/>
              <w:numPr>
                <w:ilvl w:val="0"/>
                <w:numId w:val="22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badania zależności okresu drgań ciężarka od jego masy i współczynnika sprężystości sprężyny</w:t>
            </w:r>
          </w:p>
          <w:p>
            <w:pPr>
              <w:pStyle w:val="Normal"/>
              <w:widowControl w:val="false"/>
              <w:numPr>
                <w:ilvl w:val="0"/>
                <w:numId w:val="22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badania zależności okresu drgań od długości wahadła</w:t>
            </w:r>
          </w:p>
          <w:p>
            <w:pPr>
              <w:pStyle w:val="Normal"/>
              <w:widowControl w:val="false"/>
              <w:numPr>
                <w:ilvl w:val="0"/>
                <w:numId w:val="22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demonstracji zjawiska rezonansu mechanicznego</w:t>
            </w:r>
          </w:p>
          <w:p>
            <w:pPr>
              <w:pStyle w:val="Normal"/>
              <w:widowControl w:val="false"/>
              <w:numPr>
                <w:ilvl w:val="0"/>
                <w:numId w:val="22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22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0"/>
                <w:numId w:val="22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opisu drgań harmonicznych</w:t>
            </w:r>
          </w:p>
          <w:p>
            <w:pPr>
              <w:pStyle w:val="Normal"/>
              <w:widowControl w:val="false"/>
              <w:numPr>
                <w:ilvl w:val="0"/>
                <w:numId w:val="22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22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0"/>
                <w:numId w:val="22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wykorzystaniem wzorów na energię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22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zjawiska rezonansu mechanicznego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oraz sporządza wykresy z uwzględnieniem niepewności pomiaru; </w:t>
            </w:r>
            <w:r>
              <w:rPr>
                <w:color w:val="000000" w:themeColor="text1"/>
                <w:sz w:val="15"/>
                <w:szCs w:val="15"/>
              </w:rPr>
              <w:t>uzasadnia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stwierdzenia i zależności</w:t>
            </w:r>
          </w:p>
          <w:p>
            <w:pPr>
              <w:pStyle w:val="Normal"/>
              <w:widowControl w:val="false"/>
              <w:numPr>
                <w:ilvl w:val="0"/>
                <w:numId w:val="23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realizuje i prezentuje projekt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Figury Lissajous </w:t>
            </w:r>
            <w:r>
              <w:rPr>
                <w:color w:val="000000" w:themeColor="text1"/>
                <w:sz w:val="15"/>
                <w:szCs w:val="15"/>
              </w:rPr>
              <w:t>opisany w podręczniku</w:t>
            </w:r>
          </w:p>
          <w:p>
            <w:pPr>
              <w:pStyle w:val="Normal"/>
              <w:widowControl w:val="false"/>
              <w:numPr>
                <w:ilvl w:val="0"/>
                <w:numId w:val="23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samodzielnie wyszukuje i analizuje materiały źródłowe, w tym teksty popularnonaukowe, 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 w:themeColor="text1"/>
                <w:spacing w:val="-2"/>
                <w:sz w:val="15"/>
                <w:szCs w:val="15"/>
              </w:rPr>
              <w:t>Ruch drgający</w:t>
            </w:r>
            <w:r>
              <w:rPr>
                <w:color w:val="000000" w:themeColor="text1"/>
                <w:sz w:val="15"/>
                <w:szCs w:val="15"/>
              </w:rPr>
              <w:t>, w szczególności dotyczące:</w:t>
            </w:r>
          </w:p>
          <w:p>
            <w:pPr>
              <w:pStyle w:val="Normal"/>
              <w:widowControl w:val="false"/>
              <w:numPr>
                <w:ilvl w:val="0"/>
                <w:numId w:val="23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ruchu drgającego i zjawisk okresowych </w:t>
            </w:r>
          </w:p>
          <w:p>
            <w:pPr>
              <w:pStyle w:val="Normal"/>
              <w:widowControl w:val="false"/>
              <w:numPr>
                <w:ilvl w:val="0"/>
                <w:numId w:val="23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wahadeł i ich zastosowań</w:t>
            </w:r>
          </w:p>
          <w:p>
            <w:pPr>
              <w:pStyle w:val="Normal"/>
              <w:widowControl w:val="false"/>
              <w:numPr>
                <w:ilvl w:val="0"/>
                <w:numId w:val="23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zjawiska rezonansu mechanicznego – jego przykładów i skutków;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posługuje się informacjami pochodzącymi z analizy tych materiałów i wykorzystuje do rozwiązywania zadań lub problemów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57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w w:val="105"/>
                <w:sz w:val="15"/>
                <w:szCs w:val="15"/>
              </w:rPr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wyprowadza wzory na energię potencjalną, energię kinetyczną i całkowitą energię mechaniczną poruszającego się w pionie obciążnika wiszącego na sprężynie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analizuje i interpretuje wykresy zależności poszczególnych form energii od czasu w ruchu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obciążnika zawieszonego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23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drgającym</w:t>
            </w:r>
          </w:p>
          <w:p>
            <w:pPr>
              <w:pStyle w:val="Normal"/>
              <w:widowControl w:val="false"/>
              <w:numPr>
                <w:ilvl w:val="0"/>
                <w:numId w:val="23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opisu drgań harmonicznych</w:t>
            </w:r>
          </w:p>
          <w:p>
            <w:pPr>
              <w:pStyle w:val="Normal"/>
              <w:widowControl w:val="false"/>
              <w:numPr>
                <w:ilvl w:val="0"/>
                <w:numId w:val="23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ruchu ciała</w:t>
            </w:r>
            <w:r>
              <w:rPr>
                <w:color w:val="000000" w:themeColor="text1"/>
                <w:sz w:val="15"/>
                <w:szCs w:val="15"/>
              </w:rPr>
              <w:t xml:space="preserve"> na sprężynie</w:t>
            </w:r>
          </w:p>
          <w:p>
            <w:pPr>
              <w:pStyle w:val="Normal"/>
              <w:widowControl w:val="false"/>
              <w:numPr>
                <w:ilvl w:val="0"/>
                <w:numId w:val="23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dotyczące wahadła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matematycznego</w:t>
            </w:r>
          </w:p>
          <w:p>
            <w:pPr>
              <w:pStyle w:val="Normal"/>
              <w:widowControl w:val="false"/>
              <w:numPr>
                <w:ilvl w:val="0"/>
                <w:numId w:val="23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wykorzystaniem wzorów na energię w ruchu harmonicznym</w:t>
            </w:r>
          </w:p>
          <w:p>
            <w:pPr>
              <w:pStyle w:val="Normal"/>
              <w:widowControl w:val="false"/>
              <w:numPr>
                <w:ilvl w:val="0"/>
                <w:numId w:val="24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zjawiska rezonansu mechanicznego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oraz sporządza wykresy z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uwzględnieniem niepewności pomiaru; udowadnia podane zależności</w:t>
            </w:r>
          </w:p>
          <w:p>
            <w:pPr>
              <w:pStyle w:val="Table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planuje, realizuje i prezentuje własny projekt związany z treściami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Ruch drgający</w:t>
            </w:r>
            <w:r>
              <w:rPr>
                <w:color w:val="000000" w:themeColor="text1"/>
                <w:sz w:val="15"/>
                <w:szCs w:val="15"/>
              </w:rPr>
              <w:t xml:space="preserve">; formułuje i weryfikuje hipotezy </w:t>
            </w:r>
          </w:p>
        </w:tc>
      </w:tr>
      <w:tr>
        <w:trPr>
          <w:trHeight w:val="20" w:hRule="atLeast"/>
        </w:trPr>
        <w:tc>
          <w:tcPr>
            <w:tcW w:w="13860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false"/>
              <w:spacing w:lineRule="auto" w:line="276"/>
              <w:ind w:left="221" w:hanging="164"/>
              <w:jc w:val="center"/>
              <w:rPr>
                <w:rFonts w:ascii="HelveticaNeueLT Pro 65 Md" w:hAnsi="HelveticaNeueLT Pro 65 Md" w:cs="HelveticaNeueLT Pro 65 Md"/>
                <w:b/>
                <w:b/>
                <w:color w:val="000000" w:themeColor="text1"/>
                <w:w w:val="105"/>
                <w:sz w:val="15"/>
                <w:szCs w:val="15"/>
              </w:rPr>
            </w:pPr>
            <w:r>
              <w:rPr>
                <w:rFonts w:cs="HelveticaNeueLT Pro 65 Md" w:ascii="HelveticaNeueLT Pro 65 Md" w:hAnsi="HelveticaNeueLT Pro 65 Md"/>
                <w:b/>
                <w:color w:val="000000" w:themeColor="text1"/>
                <w:w w:val="105"/>
                <w:sz w:val="15"/>
                <w:szCs w:val="15"/>
              </w:rPr>
              <w:t>10. Fale mechaniczne</w:t>
            </w:r>
          </w:p>
        </w:tc>
      </w:tr>
      <w:tr>
        <w:trPr>
          <w:trHeight w:val="20" w:hRule="atLeast"/>
        </w:trPr>
        <w:tc>
          <w:tcPr>
            <w:tcW w:w="352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cs="Times New Roman"/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41"/>
              </w:numPr>
              <w:spacing w:lineRule="auto" w:line="276"/>
              <w:ind w:left="164" w:hanging="164"/>
              <w:rPr>
                <w:i/>
                <w:i/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wyjaśnia, czym jest fala mechaniczna; opisuje rozchodzenie się fali mechanicznej jako proces przekazywania energii bez przenoszenia materii; posługuje się pojęciami </w:t>
            </w:r>
            <w:r>
              <w:rPr>
                <w:i/>
                <w:color w:val="000000" w:themeColor="text1"/>
                <w:sz w:val="15"/>
                <w:szCs w:val="15"/>
              </w:rPr>
              <w:t>prędkości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energii fali</w:t>
            </w:r>
          </w:p>
          <w:p>
            <w:pPr>
              <w:pStyle w:val="Normal"/>
              <w:widowControl w:val="false"/>
              <w:numPr>
                <w:ilvl w:val="0"/>
                <w:numId w:val="24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amplitudy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okresu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długości fali</w:t>
            </w:r>
            <w:r>
              <w:rPr>
                <w:color w:val="000000" w:themeColor="text1"/>
                <w:sz w:val="15"/>
                <w:szCs w:val="15"/>
              </w:rPr>
              <w:t xml:space="preserve"> wraz z ich jednostkami; stosuje te wielkości oraz związki między nimi do opisu fal i w obliczeniach </w:t>
            </w:r>
          </w:p>
          <w:p>
            <w:pPr>
              <w:pStyle w:val="Normal"/>
              <w:widowControl w:val="false"/>
              <w:numPr>
                <w:ilvl w:val="0"/>
                <w:numId w:val="24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mechanizm powstawania i rozchodzenia się fal dźwiękowych w 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powietrzu; podaje przykłady źródeł dźwięku</w:t>
            </w:r>
          </w:p>
          <w:p>
            <w:pPr>
              <w:pStyle w:val="Normal"/>
              <w:widowControl w:val="false"/>
              <w:numPr>
                <w:ilvl w:val="0"/>
                <w:numId w:val="24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dźwięk jako falę mechaniczną, posługując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długości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częstotliwości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okresu fali</w:t>
            </w:r>
            <w:r>
              <w:rPr>
                <w:color w:val="000000" w:themeColor="text1"/>
                <w:sz w:val="15"/>
                <w:szCs w:val="15"/>
              </w:rPr>
              <w:t>; rozróżnia dźwięki słyszalne, ultradźwięki i infradźwięki; wymienia przykłady ich źródeł i zastosowań</w:t>
            </w:r>
          </w:p>
          <w:p>
            <w:pPr>
              <w:pStyle w:val="Normal"/>
              <w:widowControl w:val="false"/>
              <w:numPr>
                <w:ilvl w:val="0"/>
                <w:numId w:val="24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jakościowo związek między natężeniem dźwięku a energią fali i amplitudą fali</w:t>
            </w:r>
          </w:p>
          <w:p>
            <w:pPr>
              <w:pStyle w:val="Normal"/>
              <w:widowControl w:val="false"/>
              <w:numPr>
                <w:ilvl w:val="0"/>
                <w:numId w:val="24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jakościowo i przedstawia schematycznie zjawisko odbicia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zjawisko załamania na granicy dwóch ośrodków różniących się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prędkością rozchodzenia się fali; wskazuje kierunek załamania</w:t>
            </w:r>
          </w:p>
          <w:p>
            <w:pPr>
              <w:pStyle w:val="Normal"/>
              <w:widowControl w:val="false"/>
              <w:numPr>
                <w:ilvl w:val="0"/>
                <w:numId w:val="24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podaje zasadę Huygensa oraz przykłady dyfrakcji i interferencji fal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24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jakościowo związki między wysokością dźwięku a częstotliwością fali oraz między natężeniem dźwięku (głośnością) a energią fali i amplitudą fali</w:t>
            </w:r>
          </w:p>
          <w:p>
            <w:pPr>
              <w:pStyle w:val="Normal"/>
              <w:widowControl w:val="false"/>
              <w:numPr>
                <w:ilvl w:val="0"/>
                <w:numId w:val="24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rozróżnia dźwięki proste i złożone, wskazuje ich źródła</w:t>
            </w:r>
          </w:p>
          <w:p>
            <w:pPr>
              <w:pStyle w:val="Normal"/>
              <w:widowControl w:val="false"/>
              <w:numPr>
                <w:ilvl w:val="0"/>
                <w:numId w:val="25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 xml:space="preserve">wyjaśnia na wybranym przykładzie, na czym polega </w:t>
            </w:r>
            <w:r>
              <w:rPr>
                <w:color w:val="000000" w:themeColor="text1"/>
                <w:sz w:val="15"/>
                <w:szCs w:val="15"/>
              </w:rPr>
              <w:t>efekt Dopplera</w:t>
            </w:r>
          </w:p>
          <w:p>
            <w:pPr>
              <w:pStyle w:val="Normal"/>
              <w:widowControl w:val="false"/>
              <w:numPr>
                <w:ilvl w:val="0"/>
                <w:numId w:val="25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1"/>
                <w:numId w:val="252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i ilustruje graficznie rozchodzenie się fal na powierzchni wody</w:t>
            </w:r>
          </w:p>
          <w:p>
            <w:pPr>
              <w:pStyle w:val="Normal"/>
              <w:widowControl w:val="false"/>
              <w:numPr>
                <w:ilvl w:val="1"/>
                <w:numId w:val="253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obserwuje i opisuje zjawisko załamania fali na granicy ośrodków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różniących się</w:t>
            </w:r>
            <w:r>
              <w:rPr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prędkością rozchodzenia się fali;</w:t>
            </w:r>
          </w:p>
          <w:p>
            <w:pPr>
              <w:pStyle w:val="Normal"/>
              <w:widowControl w:val="false"/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formułuje wnioski</w:t>
            </w:r>
          </w:p>
          <w:p>
            <w:pPr>
              <w:pStyle w:val="Normal"/>
              <w:widowControl w:val="false"/>
              <w:numPr>
                <w:ilvl w:val="0"/>
                <w:numId w:val="25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25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falowym i opisem fal</w:t>
            </w:r>
          </w:p>
          <w:p>
            <w:pPr>
              <w:pStyle w:val="Normal"/>
              <w:widowControl w:val="false"/>
              <w:numPr>
                <w:ilvl w:val="1"/>
                <w:numId w:val="25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1"/>
                <w:numId w:val="25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1"/>
                <w:numId w:val="25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1"/>
                <w:numId w:val="25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1"/>
                <w:numId w:val="26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1"/>
                <w:numId w:val="26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efektem Dopplera,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164" w:hanging="0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 w:themeColor="text1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 w:themeColor="text1"/>
                <w:spacing w:val="-10"/>
                <w:sz w:val="15"/>
                <w:szCs w:val="15"/>
              </w:rPr>
              <w:t>,</w:t>
            </w:r>
            <w:r>
              <w:rPr>
                <w:color w:val="000000" w:themeColor="text1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danych </w:t>
            </w:r>
          </w:p>
        </w:tc>
        <w:tc>
          <w:tcPr>
            <w:tcW w:w="3809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6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źródło fali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impuls falowy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fala harmoniczna</w:t>
            </w:r>
            <w:r>
              <w:rPr>
                <w:color w:val="000000" w:themeColor="text1"/>
                <w:sz w:val="15"/>
                <w:szCs w:val="15"/>
              </w:rPr>
              <w:t>; uzasadnia, że fala przenosi energię</w:t>
            </w:r>
          </w:p>
          <w:p>
            <w:pPr>
              <w:pStyle w:val="Normal"/>
              <w:widowControl w:val="false"/>
              <w:numPr>
                <w:ilvl w:val="0"/>
                <w:numId w:val="26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wymienia i omawia podstawowe właściwości fal mechanicznych</w:t>
            </w:r>
          </w:p>
          <w:p>
            <w:pPr>
              <w:pStyle w:val="Normal"/>
              <w:widowControl w:val="false"/>
              <w:numPr>
                <w:ilvl w:val="0"/>
                <w:numId w:val="26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rozróżnia i porównuje fale poprzeczne i fale podłużne, podaje ich przykłady, opisuje mechanizm ich powstawania; wyjaśnia rozchodzenie się fali poprzecznej i fali podłużnej za pomocą schematu; </w:t>
            </w:r>
          </w:p>
          <w:p>
            <w:pPr>
              <w:pStyle w:val="Normal"/>
              <w:widowControl w:val="false"/>
              <w:numPr>
                <w:ilvl w:val="0"/>
                <w:numId w:val="26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zaznacza na rysunku długość fali dla fal poprzecznych i fal podłużnych</w:t>
            </w:r>
          </w:p>
          <w:p>
            <w:pPr>
              <w:pStyle w:val="Normal"/>
              <w:widowControl w:val="false"/>
              <w:numPr>
                <w:ilvl w:val="0"/>
                <w:numId w:val="26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mechanizm powstawania, rozchodzenia się i odbioru fali dźwiękowej w powietrzu jako fali podłużnej</w:t>
            </w:r>
          </w:p>
          <w:p>
            <w:pPr>
              <w:pStyle w:val="Normal"/>
              <w:widowControl w:val="false"/>
              <w:numPr>
                <w:ilvl w:val="0"/>
                <w:numId w:val="26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demonstruje i obserwuje oscylogramy dźwięków o różnych częstotliwościach z wykorzystaniem komputera i strunowego instrumentu muzycznego</w:t>
            </w:r>
          </w:p>
          <w:p>
            <w:pPr>
              <w:pStyle w:val="Normal"/>
              <w:widowControl w:val="false"/>
              <w:numPr>
                <w:ilvl w:val="0"/>
                <w:numId w:val="26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rozchodzenie się dźwięku w różnych ośrodkach sprężystych</w:t>
            </w:r>
          </w:p>
          <w:p>
            <w:pPr>
              <w:pStyle w:val="Normal"/>
              <w:widowControl w:val="false"/>
              <w:numPr>
                <w:ilvl w:val="0"/>
                <w:numId w:val="26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rozchodzenie się fal, posługując się pojęciami: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powierzchnia falowa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pacing w:val="-4"/>
                <w:sz w:val="15"/>
                <w:szCs w:val="15"/>
              </w:rPr>
              <w:t>promień fali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; rozróżnia fale płaskie, koliste</w:t>
            </w:r>
            <w:r>
              <w:rPr>
                <w:color w:val="000000" w:themeColor="text1"/>
                <w:sz w:val="15"/>
                <w:szCs w:val="15"/>
              </w:rPr>
              <w:t xml:space="preserve"> i kuliste, wskazuje ich przykłady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27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rozchodzenie się fal na powierzchni wody i dźwięku w powietrzu na podstawie obrazu powierzchni falowych</w:t>
            </w:r>
          </w:p>
          <w:p>
            <w:pPr>
              <w:pStyle w:val="Normal"/>
              <w:widowControl w:val="false"/>
              <w:numPr>
                <w:ilvl w:val="0"/>
                <w:numId w:val="27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natężenia fali</w:t>
            </w:r>
            <w:r>
              <w:rPr>
                <w:color w:val="000000" w:themeColor="text1"/>
                <w:sz w:val="15"/>
                <w:szCs w:val="15"/>
              </w:rPr>
              <w:t xml:space="preserve"> wraz z jego jednostką </w:t>
            </w: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W</m:t>
                      </m:r>
                    </m:num>
                    <m:den>
                      <m:sSup>
                        <m:e>
                          <m:r>
                            <w:rPr>
                              <w:rFonts w:ascii="Cambria Math" w:hAnsi="Cambria Math"/>
                            </w:rPr>
                            <m:t xml:space="preserve"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 xml:space="preserve">oraz proporcjonalnością natężenia fali do kwadratu amplitudy drgań ośrodka; opisuje zależność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natężenia i amplitudy fali kulistej od odległości od punktowego źródła</w:t>
            </w:r>
          </w:p>
          <w:p>
            <w:pPr>
              <w:pStyle w:val="Normal"/>
              <w:widowControl w:val="false"/>
              <w:numPr>
                <w:ilvl w:val="0"/>
                <w:numId w:val="27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wyjaśnia zmiany długości fali przy jej przejściu do innego ośrodka</w:t>
            </w:r>
          </w:p>
          <w:p>
            <w:pPr>
              <w:pStyle w:val="Normal"/>
              <w:widowControl w:val="false"/>
              <w:numPr>
                <w:ilvl w:val="0"/>
                <w:numId w:val="27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podaje i interpretuje prawo załamania fal; 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współczynnika załamania ośrodka</w:t>
            </w:r>
          </w:p>
          <w:p>
            <w:pPr>
              <w:pStyle w:val="Normal"/>
              <w:widowControl w:val="false"/>
              <w:numPr>
                <w:ilvl w:val="0"/>
                <w:numId w:val="27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prawo odbicia i prawo załamania fal na granicy dwóch ośrodków do wyjaśniania zjawisk i w obliczeniach; opisuje i ilustruje graficznie całkowite wewnętrzne odbicie fali, zaznacza na rysunku i oblicza kąt graniczny</w:t>
            </w:r>
          </w:p>
          <w:p>
            <w:pPr>
              <w:pStyle w:val="Normal"/>
              <w:widowControl w:val="false"/>
              <w:numPr>
                <w:ilvl w:val="0"/>
                <w:numId w:val="27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formułuje zasadę</w:t>
            </w:r>
            <w:r>
              <w:rPr>
                <w:color w:val="000000" w:themeColor="text1"/>
                <w:sz w:val="15"/>
                <w:szCs w:val="15"/>
              </w:rPr>
              <w:t xml:space="preserve"> superpozycji fal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stosuje ją </w:t>
            </w:r>
            <w:r>
              <w:rPr>
                <w:color w:val="000000" w:themeColor="text1"/>
                <w:sz w:val="15"/>
                <w:szCs w:val="15"/>
              </w:rPr>
              <w:t>do wyjaśniania zjawisk; opisuje falę stojącą</w:t>
            </w:r>
          </w:p>
          <w:p>
            <w:pPr>
              <w:pStyle w:val="Normal"/>
              <w:widowControl w:val="false"/>
              <w:numPr>
                <w:ilvl w:val="0"/>
                <w:numId w:val="27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interferencję fal pochodzących z dwóch źródeł; wyjaśnia mechanizm zjawiska interferencji fal; podaje warunki wzmacniania oraz wygaszania się fal</w:t>
            </w:r>
          </w:p>
          <w:p>
            <w:pPr>
              <w:pStyle w:val="Normal"/>
              <w:widowControl w:val="false"/>
              <w:numPr>
                <w:ilvl w:val="0"/>
                <w:numId w:val="277"/>
              </w:numPr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stosuje zasadę Huygensa do wyjaśniania zjawiska dyfrakcji; opisuje jakościowo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związek pomiędzy dyfrakcją na szczelinie a szerokością szczeliny i długością fali</w:t>
            </w:r>
          </w:p>
          <w:p>
            <w:pPr>
              <w:pStyle w:val="Normal"/>
              <w:widowControl w:val="false"/>
              <w:numPr>
                <w:ilvl w:val="0"/>
                <w:numId w:val="27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pojęciami: </w:t>
            </w:r>
            <w:r>
              <w:rPr>
                <w:i/>
                <w:color w:val="000000" w:themeColor="text1"/>
                <w:sz w:val="15"/>
                <w:szCs w:val="15"/>
              </w:rPr>
              <w:t>barwa</w:t>
            </w:r>
            <w:r>
              <w:rPr>
                <w:color w:val="000000" w:themeColor="text1"/>
                <w:sz w:val="15"/>
                <w:szCs w:val="15"/>
              </w:rPr>
              <w:t xml:space="preserve"> i </w:t>
            </w:r>
            <w:r>
              <w:rPr>
                <w:i/>
                <w:color w:val="000000" w:themeColor="text1"/>
                <w:sz w:val="15"/>
                <w:szCs w:val="15"/>
              </w:rPr>
              <w:t>widmo dźwięku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częstotliwość podstawowa</w:t>
            </w:r>
            <w:r>
              <w:rPr>
                <w:color w:val="000000" w:themeColor="text1"/>
                <w:sz w:val="15"/>
                <w:szCs w:val="15"/>
              </w:rPr>
              <w:t xml:space="preserve">, </w:t>
            </w:r>
            <w:r>
              <w:rPr>
                <w:i/>
                <w:color w:val="000000" w:themeColor="text1"/>
                <w:sz w:val="15"/>
                <w:szCs w:val="15"/>
              </w:rPr>
              <w:t>składowe harmoniczne</w:t>
            </w:r>
            <w:r>
              <w:rPr>
                <w:color w:val="000000" w:themeColor="text1"/>
                <w:sz w:val="15"/>
                <w:szCs w:val="15"/>
              </w:rPr>
              <w:t>; podaje różnicę proporcji składowych harmonicznych jako przyczynę różnej barwy dźwięków</w:t>
            </w:r>
          </w:p>
          <w:p>
            <w:pPr>
              <w:pStyle w:val="Normal"/>
              <w:widowControl w:val="false"/>
              <w:numPr>
                <w:ilvl w:val="0"/>
                <w:numId w:val="27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stosuje zasadę superpozycji fal do wyjaśniania związku dźwięku instrumentów muzycznych z falami stojącymi wytwarzanymi na strunach lub w słupie powietrza; opisuje powstawanie fal stojących w instrumentach muzycznych jako przykład zjawiska rezonansu</w:t>
            </w:r>
          </w:p>
          <w:p>
            <w:pPr>
              <w:pStyle w:val="Normal"/>
              <w:widowControl w:val="false"/>
              <w:numPr>
                <w:ilvl w:val="0"/>
                <w:numId w:val="28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 xml:space="preserve">opisuje przykłady </w:t>
            </w:r>
            <w:r>
              <w:rPr>
                <w:color w:val="000000" w:themeColor="text1"/>
                <w:sz w:val="15"/>
                <w:szCs w:val="15"/>
              </w:rPr>
              <w:t>występowania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i wykorzystania zjawiska </w:t>
            </w:r>
            <w:r>
              <w:rPr>
                <w:color w:val="000000" w:themeColor="text1"/>
                <w:sz w:val="15"/>
                <w:szCs w:val="15"/>
              </w:rPr>
              <w:t>Dopplera</w:t>
            </w:r>
            <w:r>
              <w:rPr>
                <w:iCs/>
                <w:color w:val="000000" w:themeColor="text1"/>
                <w:sz w:val="15"/>
                <w:szCs w:val="15"/>
              </w:rPr>
              <w:t xml:space="preserve"> w przyrodzie i technice</w:t>
            </w:r>
          </w:p>
          <w:p>
            <w:pPr>
              <w:pStyle w:val="Normal"/>
              <w:widowControl w:val="false"/>
              <w:numPr>
                <w:ilvl w:val="0"/>
                <w:numId w:val="28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iCs/>
                <w:color w:val="000000" w:themeColor="text1"/>
                <w:sz w:val="15"/>
                <w:szCs w:val="15"/>
              </w:rPr>
              <w:t xml:space="preserve">opisuje </w:t>
            </w:r>
            <w:r>
              <w:rPr>
                <w:color w:val="000000" w:themeColor="text1"/>
                <w:sz w:val="15"/>
                <w:szCs w:val="15"/>
              </w:rPr>
              <w:t xml:space="preserve">efekt Dopplera w przypadku poruszającego się źródła dźwięku i nieruchomego obserwatora oraz w przypadku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poruszającego się obserwatora i nieruchomego źródła dźwięku</w:t>
            </w:r>
          </w:p>
          <w:p>
            <w:pPr>
              <w:pStyle w:val="Normal"/>
              <w:widowControl w:val="false"/>
              <w:numPr>
                <w:ilvl w:val="0"/>
                <w:numId w:val="28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 w:themeColor="text1"/>
                <w:sz w:val="15"/>
                <w:szCs w:val="15"/>
              </w:rPr>
              <w:t>natężenia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 xml:space="preserve"> dźwięku</w:t>
            </w:r>
            <w:r>
              <w:rPr>
                <w:color w:val="000000" w:themeColor="text1"/>
                <w:sz w:val="15"/>
                <w:szCs w:val="15"/>
              </w:rPr>
              <w:t xml:space="preserve"> wraz z 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jego jednostką – </w:t>
            </w:r>
            <w:r>
              <w:rPr/>
            </w:r>
            <m:oMath xmlns:m="http://schemas.openxmlformats.org/officeDocument/2006/math">
              <m:d>
                <m:dPr>
                  <m:begChr m:val="("/>
                  <m:endChr m:val=")"/>
                </m:dPr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W</m:t>
                      </m:r>
                    </m:num>
                    <m:den>
                      <m:sSup>
                        <m:e>
                          <m:r>
                            <w:rPr>
                              <w:rFonts w:ascii="Cambria Math" w:hAnsi="Cambria Math"/>
                            </w:rPr>
                            <m:t xml:space="preserve"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 xml:space="preserve">2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color w:val="000000" w:themeColor="text1"/>
                <w:spacing w:val="-10"/>
                <w:sz w:val="15"/>
                <w:szCs w:val="15"/>
              </w:rPr>
              <w:t xml:space="preserve">, </w:t>
            </w:r>
            <w:r>
              <w:rPr>
                <w:color w:val="000000" w:themeColor="text1"/>
                <w:sz w:val="15"/>
                <w:szCs w:val="15"/>
              </w:rPr>
              <w:t xml:space="preserve">oraz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pojęciem </w:t>
            </w:r>
            <w:r>
              <w:rPr>
                <w:i/>
                <w:color w:val="000000" w:themeColor="text1"/>
                <w:sz w:val="15"/>
                <w:szCs w:val="15"/>
              </w:rPr>
              <w:t xml:space="preserve">poziomu natężenia </w:t>
            </w:r>
            <w:r>
              <w:rPr>
                <w:i/>
                <w:color w:val="000000" w:themeColor="text1"/>
                <w:spacing w:val="-2"/>
                <w:sz w:val="15"/>
                <w:szCs w:val="15"/>
              </w:rPr>
              <w:t>dźwięku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</w:t>
            </w:r>
            <w:r>
              <w:rPr>
                <w:color w:val="000000" w:themeColor="text1"/>
                <w:sz w:val="15"/>
                <w:szCs w:val="15"/>
              </w:rPr>
              <w:t>wraz z 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jego jednostką – </w:t>
            </w:r>
            <w:r>
              <w:rPr>
                <w:color w:val="000000" w:themeColor="text1"/>
                <w:sz w:val="15"/>
                <w:szCs w:val="15"/>
              </w:rPr>
              <w:t>dB</w:t>
            </w:r>
          </w:p>
          <w:p>
            <w:pPr>
              <w:pStyle w:val="Normal"/>
              <w:widowControl w:val="false"/>
              <w:numPr>
                <w:ilvl w:val="0"/>
                <w:numId w:val="28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28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 (demonstruje) fale poprzeczne i fale podłużne oraz rozchodzenie się fali w ciele stałym</w:t>
            </w:r>
          </w:p>
          <w:p>
            <w:pPr>
              <w:pStyle w:val="Normal"/>
              <w:widowControl w:val="false"/>
              <w:numPr>
                <w:ilvl w:val="0"/>
                <w:numId w:val="28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obserwuje</w:t>
            </w:r>
            <w:r>
              <w:rPr>
                <w:color w:val="000000" w:themeColor="text1"/>
                <w:sz w:val="15"/>
                <w:szCs w:val="15"/>
              </w:rPr>
              <w:t xml:space="preserve">: superpozycję fal, </w:t>
            </w:r>
            <w:r>
              <w:rPr>
                <w:bCs/>
                <w:color w:val="000000" w:themeColor="text1"/>
                <w:sz w:val="15"/>
                <w:szCs w:val="15"/>
              </w:rPr>
              <w:t>zjawisko dyfrakcji fali na szczelinie</w:t>
            </w:r>
            <w:r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zjawisko interferencji fal</w:t>
            </w:r>
          </w:p>
          <w:p>
            <w:pPr>
              <w:pStyle w:val="Normal"/>
              <w:widowControl w:val="false"/>
              <w:numPr>
                <w:ilvl w:val="0"/>
                <w:numId w:val="28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 widmo dźwięku oraz dźwięk powstający w wyniku drgań słupa powietrza w piszczałce zamkniętej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opisuje, ilustruje graficznie, analizuje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wyjaśnia </w:t>
            </w:r>
            <w:r>
              <w:rPr>
                <w:color w:val="000000" w:themeColor="text1"/>
                <w:sz w:val="15"/>
                <w:szCs w:val="15"/>
              </w:rPr>
              <w:t xml:space="preserve">wyniki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obserwacji</w:t>
            </w:r>
            <w:r>
              <w:rPr>
                <w:color w:val="000000" w:themeColor="text1"/>
                <w:sz w:val="15"/>
                <w:szCs w:val="15"/>
              </w:rPr>
              <w:t xml:space="preserve"> i doświadczeń,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formułuje wnioski</w:t>
            </w:r>
          </w:p>
          <w:p>
            <w:pPr>
              <w:pStyle w:val="Normal"/>
              <w:widowControl w:val="false"/>
              <w:numPr>
                <w:ilvl w:val="0"/>
                <w:numId w:val="287"/>
              </w:numPr>
              <w:spacing w:lineRule="auto" w:line="276"/>
              <w:ind w:left="164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rozwiązuje typowe zadania lub problemy:</w:t>
            </w:r>
          </w:p>
          <w:p>
            <w:pPr>
              <w:pStyle w:val="Normal"/>
              <w:widowControl w:val="false"/>
              <w:numPr>
                <w:ilvl w:val="0"/>
                <w:numId w:val="288"/>
              </w:numPr>
              <w:spacing w:lineRule="auto" w:line="276"/>
              <w:ind w:left="328" w:hanging="164"/>
              <w:rPr>
                <w:color w:val="000000" w:themeColor="text1"/>
                <w:spacing w:val="-6"/>
                <w:sz w:val="15"/>
                <w:szCs w:val="15"/>
              </w:rPr>
            </w:pPr>
            <w:r>
              <w:rPr>
                <w:color w:val="000000" w:themeColor="text1"/>
                <w:spacing w:val="-6"/>
                <w:sz w:val="15"/>
                <w:szCs w:val="15"/>
              </w:rPr>
              <w:t>związane z ruchem falowym i opisem fal</w:t>
            </w:r>
          </w:p>
          <w:p>
            <w:pPr>
              <w:pStyle w:val="Normal"/>
              <w:widowControl w:val="false"/>
              <w:numPr>
                <w:ilvl w:val="0"/>
                <w:numId w:val="28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0"/>
                <w:numId w:val="29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0"/>
                <w:numId w:val="29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0"/>
                <w:numId w:val="29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0"/>
                <w:numId w:val="29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0"/>
                <w:numId w:val="29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związane z efektem Dopplera, </w:t>
            </w:r>
          </w:p>
          <w:p>
            <w:pPr>
              <w:pStyle w:val="Normal"/>
              <w:widowControl w:val="false"/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w szczególności: </w:t>
            </w:r>
            <w:r>
              <w:rPr>
                <w:color w:val="000000" w:themeColor="text1"/>
                <w:sz w:val="15"/>
                <w:szCs w:val="15"/>
              </w:rPr>
              <w:t>posługuje się materiałami pomocniczymi, w tym tablicami fizycznymi, kartą wybranych wzorów i stałych fizykochemicznych oraz kalkulatorem,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 wykonuje</w:t>
            </w:r>
            <w:r>
              <w:rPr>
                <w:color w:val="000000" w:themeColor="text1"/>
                <w:sz w:val="15"/>
                <w:szCs w:val="15"/>
              </w:rPr>
              <w:t xml:space="preserve"> obliczenia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szacunkowe i analizuje otrzymany</w:t>
            </w:r>
            <w:r>
              <w:rPr>
                <w:color w:val="000000" w:themeColor="text1"/>
                <w:sz w:val="15"/>
                <w:szCs w:val="15"/>
              </w:rPr>
              <w:t xml:space="preserve"> wynik; rysuje, analizuje i interpretuje wykresy; uwzględnia niepewności pomiarów; uzasadnia odpowiedzi</w:t>
            </w:r>
          </w:p>
          <w:p>
            <w:pPr>
              <w:pStyle w:val="Normal"/>
              <w:widowControl w:val="false"/>
              <w:numPr>
                <w:ilvl w:val="0"/>
                <w:numId w:val="29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pochodzącymi z analizy przedstawionych </w:t>
            </w:r>
            <w:r>
              <w:rPr>
                <w:color w:val="000000" w:themeColor="text1"/>
                <w:sz w:val="15"/>
                <w:szCs w:val="15"/>
              </w:rPr>
              <w:t xml:space="preserve">materiałów źródłowych, w tym tekstów popularnonaukowych, dotyczącymi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Fale mechaniczne</w:t>
            </w:r>
            <w:r>
              <w:rPr>
                <w:color w:val="000000" w:themeColor="text1"/>
                <w:sz w:val="15"/>
                <w:szCs w:val="15"/>
              </w:rPr>
              <w:t>, w szczególności fal dźwiękowych</w:t>
            </w:r>
          </w:p>
          <w:p>
            <w:pPr>
              <w:pStyle w:val="Normal"/>
              <w:widowControl w:val="false"/>
              <w:numPr>
                <w:ilvl w:val="0"/>
                <w:numId w:val="29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analizuje tekst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Muzykalne owady i biologiczny termometr</w:t>
            </w:r>
            <w:r>
              <w:rPr>
                <w:color w:val="000000" w:themeColor="text1"/>
                <w:sz w:val="15"/>
                <w:szCs w:val="15"/>
              </w:rPr>
              <w:t>; wyodrębnia informacje kluczowe, posługuje się nimi i wykorzystuje je do rozwiązywania prostych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dokonuje syntezy wiedzy o falach mechanicznych; przedstawia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najważniejsze pojęcia, zasady i zależności</w:t>
            </w:r>
          </w:p>
        </w:tc>
        <w:tc>
          <w:tcPr>
            <w:tcW w:w="3387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9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rozchodzenie się fal na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powierzchni wody jako przykład</w:t>
            </w:r>
            <w:r>
              <w:rPr>
                <w:color w:val="000000" w:themeColor="text1"/>
                <w:sz w:val="15"/>
                <w:szCs w:val="15"/>
              </w:rPr>
              <w:t xml:space="preserve"> fal będących złożeniem fal poprzecznych i podłużnych; wyjaśnia, że fala mechaniczna może się rozchodzić tylko w ośrodku sprężystym</w:t>
            </w:r>
          </w:p>
          <w:p>
            <w:pPr>
              <w:pStyle w:val="Normal"/>
              <w:widowControl w:val="false"/>
              <w:numPr>
                <w:ilvl w:val="0"/>
                <w:numId w:val="29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i objaśnia wykres zależności wychylenia (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y</w:t>
            </w:r>
            <w:r>
              <w:rPr>
                <w:color w:val="000000" w:themeColor="text1"/>
                <w:sz w:val="15"/>
                <w:szCs w:val="15"/>
              </w:rPr>
              <w:t xml:space="preserve">) od położenia mierzonego wzdłuż kierunku rozchodzenia się fali (osi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x</w:t>
            </w:r>
            <w:r>
              <w:rPr>
                <w:color w:val="000000" w:themeColor="text1"/>
                <w:sz w:val="15"/>
                <w:szCs w:val="15"/>
              </w:rPr>
              <w:t>) dla fali harmonicznej (poprzecznej i podłużnej)</w:t>
            </w:r>
          </w:p>
          <w:p>
            <w:pPr>
              <w:pStyle w:val="Normal"/>
              <w:widowControl w:val="false"/>
              <w:numPr>
                <w:ilvl w:val="0"/>
                <w:numId w:val="29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wyjaśnia różnice prędkości dźwięku w gazach, cieczach i ciałach stałych oraz zależność prędkości dźwięku w powietrzu od temperatury</w:t>
            </w:r>
          </w:p>
          <w:p>
            <w:pPr>
              <w:pStyle w:val="Normal"/>
              <w:widowControl w:val="false"/>
              <w:numPr>
                <w:ilvl w:val="0"/>
                <w:numId w:val="30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wyjaśnia zależności natężenia harmonicznej fali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kulistej </w:t>
            </w:r>
            <w:r>
              <w:rPr>
                <w:color w:val="000000" w:themeColor="text1"/>
                <w:sz w:val="15"/>
                <w:szCs w:val="15"/>
              </w:rPr>
              <w:t>od odległości od źródła i amplitudy drgań cząsteczek ośrodka</w:t>
            </w:r>
          </w:p>
          <w:p>
            <w:pPr>
              <w:pStyle w:val="Normal"/>
              <w:widowControl w:val="false"/>
              <w:numPr>
                <w:ilvl w:val="0"/>
                <w:numId w:val="30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 prawo załamania fal – wyznacza zależność między kątem załamania a kątem padania </w:t>
            </w:r>
          </w:p>
          <w:p>
            <w:pPr>
              <w:pStyle w:val="Normal"/>
              <w:widowControl w:val="false"/>
              <w:numPr>
                <w:ilvl w:val="0"/>
                <w:numId w:val="30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wyznacza kąt graniczny</w:t>
            </w:r>
          </w:p>
          <w:p>
            <w:pPr>
              <w:pStyle w:val="Normal"/>
              <w:widowControl w:val="false"/>
              <w:numPr>
                <w:ilvl w:val="0"/>
                <w:numId w:val="303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wyprowadza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(uzasadnia) wzór na</w:t>
            </w:r>
            <w:r>
              <w:rPr>
                <w:color w:val="000000" w:themeColor="text1"/>
                <w:sz w:val="15"/>
                <w:szCs w:val="15"/>
              </w:rPr>
              <w:t xml:space="preserve"> częstotliwość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fal stojących powstających na sznurze umocowanym na jednym końcu</w:t>
            </w:r>
          </w:p>
          <w:p>
            <w:pPr>
              <w:pStyle w:val="Normal"/>
              <w:widowControl w:val="false"/>
              <w:numPr>
                <w:ilvl w:val="0"/>
                <w:numId w:val="304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 (wyprowadza wzory) warunki wzmacniania oraz wygaszania się fal </w:t>
            </w:r>
          </w:p>
          <w:p>
            <w:pPr>
              <w:pStyle w:val="Normal"/>
              <w:widowControl w:val="false"/>
              <w:numPr>
                <w:ilvl w:val="0"/>
                <w:numId w:val="30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opisuje zależność przestrzennego obrazu interferencji od długości fali i odległości między źródłami; stosuje w obliczeniach wzory na zależność między długością fali a 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położeniem miejsc wzmocnienia i </w:t>
            </w:r>
            <w:r>
              <w:rPr>
                <w:color w:val="000000" w:themeColor="text1"/>
                <w:sz w:val="15"/>
                <w:szCs w:val="15"/>
              </w:rPr>
              <w:t>wygaszenia; szkicuje obraz interferencyjny</w:t>
            </w:r>
          </w:p>
          <w:p>
            <w:pPr>
              <w:pStyle w:val="Normal"/>
              <w:widowControl w:val="false"/>
              <w:numPr>
                <w:ilvl w:val="0"/>
                <w:numId w:val="30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opisuje fale stojące na strunie i w słupie powietrza – w piszczałce zamkniętej i piszczałce otwartej; przedstawia i objaśnia schemat ich powstawania; </w:t>
            </w: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>podaje wzory na częstotliwość wytwarzanych fal</w:t>
            </w:r>
          </w:p>
          <w:p>
            <w:pPr>
              <w:pStyle w:val="Normal"/>
              <w:widowControl w:val="false"/>
              <w:numPr>
                <w:ilvl w:val="0"/>
                <w:numId w:val="307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analizuje efekt Dopplera dla fal w sytuacji, gdy źródło fali lub obserwator poruszają się znacznie wolniej niż fala</w:t>
            </w:r>
          </w:p>
          <w:p>
            <w:pPr>
              <w:pStyle w:val="Normal"/>
              <w:widowControl w:val="false"/>
              <w:numPr>
                <w:ilvl w:val="0"/>
                <w:numId w:val="30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podaje i interpretuje wzory na częstotliwość fali dźwiękowej odbieranej przez obserwatora w </w:t>
            </w:r>
            <w:r>
              <w:rPr>
                <w:color w:val="000000" w:themeColor="text1"/>
                <w:sz w:val="15"/>
                <w:szCs w:val="15"/>
              </w:rPr>
              <w:t xml:space="preserve">sytuacji, gdy źródło fali lub obserwator się poruszają; 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stosuje te wzory </w:t>
            </w:r>
            <w:r>
              <w:rPr>
                <w:color w:val="000000" w:themeColor="text1"/>
                <w:sz w:val="15"/>
                <w:szCs w:val="15"/>
              </w:rPr>
              <w:t>do wyjaśniania zjawisk i w obliczeniach</w:t>
            </w:r>
          </w:p>
          <w:p>
            <w:pPr>
              <w:pStyle w:val="Normal"/>
              <w:widowControl w:val="false"/>
              <w:numPr>
                <w:ilvl w:val="0"/>
                <w:numId w:val="30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podaje i stosuje w obliczeniach wzór na przeliczanie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>
            <w:pPr>
              <w:pStyle w:val="Normal"/>
              <w:widowControl w:val="false"/>
              <w:numPr>
                <w:ilvl w:val="0"/>
                <w:numId w:val="31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posługuje się skalą logarytmiczną; analizuje i objaśnia skalę poziomu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i skalę muzyczną; podaje inne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przykłady skal logarytmicznych, </w:t>
            </w:r>
            <w:r>
              <w:rPr>
                <w:color w:val="000000" w:themeColor="text1"/>
                <w:sz w:val="15"/>
                <w:szCs w:val="15"/>
              </w:rPr>
              <w:t>uzasadnia ich użyteczność</w:t>
            </w:r>
          </w:p>
          <w:p>
            <w:pPr>
              <w:pStyle w:val="Normal"/>
              <w:widowControl w:val="false"/>
              <w:numPr>
                <w:ilvl w:val="0"/>
                <w:numId w:val="31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doświadczalnie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wyznacza częstotliwość dźwięku i drgań struny, opracowuje i analizuje</w:t>
            </w:r>
            <w:r>
              <w:rPr>
                <w:color w:val="000000" w:themeColor="text1"/>
                <w:sz w:val="15"/>
                <w:szCs w:val="15"/>
              </w:rPr>
              <w:t xml:space="preserve"> wyniki z uwzględnieniem niepewności pomiarów</w:t>
            </w:r>
          </w:p>
          <w:p>
            <w:pPr>
              <w:pStyle w:val="Normal"/>
              <w:widowControl w:val="false"/>
              <w:numPr>
                <w:ilvl w:val="0"/>
                <w:numId w:val="31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 i modyfikuje przebieg doświadczeń (formułuje hipotezy i prezentuje kroki niezbędne do ich weryfikacji) dotyczących: </w:t>
            </w:r>
          </w:p>
          <w:p>
            <w:pPr>
              <w:pStyle w:val="Normal"/>
              <w:widowControl w:val="false"/>
              <w:numPr>
                <w:ilvl w:val="0"/>
                <w:numId w:val="31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badania (demonstracji) fal poprzecznych i fal podłużnych oraz rozchodzenia się fali w ciele stałym</w:t>
            </w:r>
          </w:p>
          <w:p>
            <w:pPr>
              <w:pStyle w:val="Normal"/>
              <w:widowControl w:val="false"/>
              <w:numPr>
                <w:ilvl w:val="0"/>
                <w:numId w:val="31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bCs/>
                <w:color w:val="000000" w:themeColor="text1"/>
                <w:sz w:val="15"/>
                <w:szCs w:val="15"/>
              </w:rPr>
              <w:t>obserwacji</w:t>
            </w:r>
            <w:r>
              <w:rPr>
                <w:color w:val="000000" w:themeColor="text1"/>
                <w:sz w:val="15"/>
                <w:szCs w:val="15"/>
              </w:rPr>
              <w:t xml:space="preserve">: superpozycji fal, </w:t>
            </w:r>
            <w:r>
              <w:rPr>
                <w:bCs/>
                <w:color w:val="000000" w:themeColor="text1"/>
                <w:sz w:val="15"/>
                <w:szCs w:val="15"/>
              </w:rPr>
              <w:t>zjawiska dyfrakcji fali na szczelinie</w:t>
            </w:r>
            <w:r>
              <w:rPr>
                <w:color w:val="000000" w:themeColor="text1"/>
                <w:sz w:val="15"/>
                <w:szCs w:val="15"/>
              </w:rPr>
              <w:t>,</w:t>
            </w:r>
            <w:r>
              <w:rPr>
                <w:bCs/>
                <w:color w:val="000000" w:themeColor="text1"/>
                <w:sz w:val="15"/>
                <w:szCs w:val="15"/>
              </w:rPr>
              <w:t xml:space="preserve"> zjawiska interferencji fal</w:t>
            </w:r>
          </w:p>
          <w:p>
            <w:pPr>
              <w:pStyle w:val="Normal"/>
              <w:widowControl w:val="false"/>
              <w:numPr>
                <w:ilvl w:val="0"/>
                <w:numId w:val="31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badania widma dźwięku oraz dźwięku powstającego w wyniku drgań słupa powietrza w piszczałce zamkniętej</w:t>
            </w:r>
          </w:p>
          <w:p>
            <w:pPr>
              <w:pStyle w:val="Normal"/>
              <w:widowControl w:val="false"/>
              <w:numPr>
                <w:ilvl w:val="0"/>
                <w:numId w:val="316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złożone (typowe)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317"/>
              </w:numPr>
              <w:spacing w:lineRule="auto" w:line="276"/>
              <w:ind w:left="328" w:hanging="164"/>
              <w:rPr>
                <w:color w:val="000000" w:themeColor="text1"/>
                <w:spacing w:val="-6"/>
                <w:sz w:val="15"/>
                <w:szCs w:val="15"/>
              </w:rPr>
            </w:pPr>
            <w:r>
              <w:rPr>
                <w:color w:val="000000" w:themeColor="text1"/>
                <w:spacing w:val="-6"/>
                <w:sz w:val="15"/>
                <w:szCs w:val="15"/>
              </w:rPr>
              <w:t>związane z ruchem falowym i matematycznym opisem fal</w:t>
            </w:r>
          </w:p>
          <w:p>
            <w:pPr>
              <w:pStyle w:val="Normal"/>
              <w:widowControl w:val="false"/>
              <w:numPr>
                <w:ilvl w:val="0"/>
                <w:numId w:val="31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0"/>
                <w:numId w:val="31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0"/>
                <w:numId w:val="32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0"/>
                <w:numId w:val="321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0"/>
                <w:numId w:val="322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0"/>
                <w:numId w:val="32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efektem Dopplera</w:t>
            </w:r>
          </w:p>
          <w:p>
            <w:pPr>
              <w:pStyle w:val="Normal"/>
              <w:widowControl w:val="false"/>
              <w:numPr>
                <w:ilvl w:val="0"/>
                <w:numId w:val="32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wzoru na przeliczanie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oraz sporządza i </w:t>
            </w:r>
            <w:r>
              <w:rPr>
                <w:color w:val="000000" w:themeColor="text1"/>
                <w:sz w:val="15"/>
                <w:szCs w:val="15"/>
              </w:rPr>
              <w:t xml:space="preserve">interpretuje 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wykresy; </w:t>
            </w:r>
            <w:r>
              <w:rPr>
                <w:color w:val="000000" w:themeColor="text1"/>
                <w:sz w:val="15"/>
                <w:szCs w:val="15"/>
              </w:rPr>
              <w:t>uzasadnia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 xml:space="preserve"> podane stwierdzenia i zależności</w:t>
            </w:r>
          </w:p>
          <w:p>
            <w:pPr>
              <w:pStyle w:val="Normal"/>
              <w:widowControl w:val="false"/>
              <w:numPr>
                <w:ilvl w:val="0"/>
                <w:numId w:val="325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samodzielnie wyszukuje i analizuje materiały źródłowe, w 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tym teksty popularnonaukowe, </w:t>
            </w:r>
            <w:r>
              <w:rPr>
                <w:color w:val="000000" w:themeColor="text1"/>
                <w:sz w:val="15"/>
                <w:szCs w:val="15"/>
              </w:rPr>
              <w:t xml:space="preserve">dotyczące treści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>Fale mechaniczne</w:t>
            </w:r>
            <w:r>
              <w:rPr>
                <w:color w:val="000000" w:themeColor="text1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326"/>
              </w:numPr>
              <w:spacing w:lineRule="auto" w:line="276"/>
              <w:ind w:left="328" w:hanging="164"/>
              <w:rPr>
                <w:color w:val="000000" w:themeColor="text1"/>
                <w:spacing w:val="-2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fal (np. na temat tsunami, rozchodzenia się fal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sejsmicznych w głębi Ziemi)</w:t>
            </w:r>
          </w:p>
          <w:p>
            <w:pPr>
              <w:pStyle w:val="Normal"/>
              <w:widowControl w:val="false"/>
              <w:numPr>
                <w:ilvl w:val="0"/>
                <w:numId w:val="32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superpozycji fal;</w:t>
            </w:r>
          </w:p>
          <w:p>
            <w:pPr>
              <w:pStyle w:val="TableParagraph"/>
              <w:widowControl w:val="false"/>
              <w:numPr>
                <w:ilvl w:val="1"/>
                <w:numId w:val="2"/>
              </w:numPr>
              <w:tabs>
                <w:tab w:val="clear" w:pos="720"/>
                <w:tab w:val="left" w:pos="477" w:leader="none"/>
              </w:tabs>
              <w:overflowPunct w:val="false"/>
              <w:spacing w:lineRule="auto" w:line="276"/>
              <w:ind w:left="328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posługuje się informacjami pochodzącymi z analizy tych materiałów i wykorzystuje je do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rozwiązywania zadań i problemów</w:t>
            </w:r>
          </w:p>
        </w:tc>
        <w:tc>
          <w:tcPr>
            <w:tcW w:w="313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b/>
                <w:bCs/>
                <w:color w:val="000000" w:themeColor="text1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28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wyprowadza wzory na zależność między długością fali a położeniem miejsc wzmocnienia i wygaszenia fal w obrazie interferencji</w:t>
            </w:r>
          </w:p>
          <w:p>
            <w:pPr>
              <w:pStyle w:val="Normal"/>
              <w:widowControl w:val="false"/>
              <w:numPr>
                <w:ilvl w:val="0"/>
                <w:numId w:val="329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uzasadnia (wyprowadza) wzory na częstotliwość fal stojących wytwarzanych na strunie i w słupie powietrza (w piszczałce zamkniętej) i piszczałce otwartej </w:t>
            </w:r>
          </w:p>
          <w:p>
            <w:pPr>
              <w:pStyle w:val="Normal"/>
              <w:widowControl w:val="false"/>
              <w:numPr>
                <w:ilvl w:val="0"/>
                <w:numId w:val="330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>uzasadnia (wyprowadza) wzory na częstotliwość fali dźwiękowej odbieranej przez obserwatora w </w:t>
            </w:r>
            <w:r>
              <w:rPr>
                <w:color w:val="000000" w:themeColor="text1"/>
                <w:sz w:val="15"/>
                <w:szCs w:val="15"/>
              </w:rPr>
              <w:t xml:space="preserve">sytuacji, gdy źródło fali lub obserwator się poruszają </w:t>
            </w:r>
          </w:p>
          <w:p>
            <w:pPr>
              <w:pStyle w:val="Normal"/>
              <w:widowControl w:val="false"/>
              <w:numPr>
                <w:ilvl w:val="0"/>
                <w:numId w:val="331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analizuje i opisuje mechanizm powstawania fali uderzeniowej</w:t>
            </w:r>
          </w:p>
          <w:p>
            <w:pPr>
              <w:pStyle w:val="Normal"/>
              <w:widowControl w:val="false"/>
              <w:numPr>
                <w:ilvl w:val="0"/>
                <w:numId w:val="332"/>
              </w:numPr>
              <w:spacing w:lineRule="auto" w:line="276"/>
              <w:ind w:left="164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rozwiązuje nietypowe, złożone zadania lub problemy: </w:t>
            </w:r>
          </w:p>
          <w:p>
            <w:pPr>
              <w:pStyle w:val="Normal"/>
              <w:widowControl w:val="false"/>
              <w:numPr>
                <w:ilvl w:val="0"/>
                <w:numId w:val="333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ruchem falowym i 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matematycznym opisem fal, </w:t>
            </w:r>
            <w:r>
              <w:rPr>
                <w:color w:val="000000" w:themeColor="text1"/>
                <w:sz w:val="15"/>
                <w:szCs w:val="15"/>
              </w:rPr>
              <w:t xml:space="preserve">wykorzystując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wzór na funkcją falową</w:t>
            </w:r>
          </w:p>
          <w:p>
            <w:pPr>
              <w:pStyle w:val="Normal"/>
              <w:widowControl w:val="false"/>
              <w:numPr>
                <w:ilvl w:val="0"/>
                <w:numId w:val="334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2"/>
                <w:sz w:val="15"/>
                <w:szCs w:val="15"/>
              </w:rPr>
              <w:t>dotyczące</w:t>
            </w:r>
            <w:r>
              <w:rPr>
                <w:color w:val="000000" w:themeColor="text1"/>
                <w:sz w:val="15"/>
                <w:szCs w:val="15"/>
              </w:rPr>
              <w:t xml:space="preserve"> fal dźwiękowych</w:t>
            </w:r>
          </w:p>
          <w:p>
            <w:pPr>
              <w:pStyle w:val="Normal"/>
              <w:widowControl w:val="false"/>
              <w:numPr>
                <w:ilvl w:val="0"/>
                <w:numId w:val="335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 z </w:t>
            </w:r>
            <w:r>
              <w:rPr>
                <w:bCs/>
                <w:color w:val="000000" w:themeColor="text1"/>
                <w:spacing w:val="-2"/>
                <w:sz w:val="15"/>
                <w:szCs w:val="15"/>
              </w:rPr>
              <w:t xml:space="preserve">rozchodzeniem się </w:t>
            </w:r>
            <w:r>
              <w:rPr>
                <w:bCs/>
                <w:color w:val="000000" w:themeColor="text1"/>
                <w:sz w:val="15"/>
                <w:szCs w:val="15"/>
              </w:rPr>
              <w:t>fal i </w:t>
            </w:r>
            <w:r>
              <w:rPr>
                <w:color w:val="000000" w:themeColor="text1"/>
                <w:sz w:val="15"/>
                <w:szCs w:val="15"/>
              </w:rPr>
              <w:t>natężeniem fali</w:t>
            </w:r>
          </w:p>
          <w:p>
            <w:pPr>
              <w:pStyle w:val="Normal"/>
              <w:widowControl w:val="false"/>
              <w:numPr>
                <w:ilvl w:val="0"/>
                <w:numId w:val="336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pacing w:val="-4"/>
                <w:sz w:val="15"/>
                <w:szCs w:val="15"/>
              </w:rPr>
              <w:t>dotyczące odbicia i załamania fal</w:t>
            </w:r>
          </w:p>
          <w:p>
            <w:pPr>
              <w:pStyle w:val="Normal"/>
              <w:widowControl w:val="false"/>
              <w:numPr>
                <w:ilvl w:val="0"/>
                <w:numId w:val="337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dotyczące interferencji i dyfrakcji fal</w:t>
            </w:r>
          </w:p>
          <w:p>
            <w:pPr>
              <w:pStyle w:val="Normal"/>
              <w:widowControl w:val="false"/>
              <w:numPr>
                <w:ilvl w:val="0"/>
                <w:numId w:val="338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opisywaniem dźwięków</w:t>
            </w:r>
          </w:p>
          <w:p>
            <w:pPr>
              <w:pStyle w:val="Normal"/>
              <w:widowControl w:val="false"/>
              <w:numPr>
                <w:ilvl w:val="0"/>
                <w:numId w:val="339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związane z efektem Dopplera</w:t>
            </w:r>
          </w:p>
          <w:p>
            <w:pPr>
              <w:pStyle w:val="Normal"/>
              <w:widowControl w:val="false"/>
              <w:numPr>
                <w:ilvl w:val="0"/>
                <w:numId w:val="340"/>
              </w:numPr>
              <w:spacing w:lineRule="auto" w:line="276"/>
              <w:ind w:left="328" w:hanging="164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  <w:vertAlign w:val="superscript"/>
              </w:rPr>
              <w:t>R</w:t>
            </w:r>
            <w:r>
              <w:rPr>
                <w:color w:val="000000" w:themeColor="text1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 w:themeColor="text1"/>
                <w:sz w:val="15"/>
                <w:szCs w:val="15"/>
                <w:lang w:eastAsia="en-US"/>
              </w:rPr>
              <w:t xml:space="preserve">wzoru na przeliczanie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 xml:space="preserve">dźwięku na </w:t>
            </w:r>
            <w:r>
              <w:rPr>
                <w:color w:val="000000" w:themeColor="text1"/>
                <w:sz w:val="15"/>
                <w:szCs w:val="15"/>
              </w:rPr>
              <w:t xml:space="preserve">poziom natężenia </w:t>
            </w:r>
            <w:r>
              <w:rPr>
                <w:color w:val="000000" w:themeColor="text1"/>
                <w:spacing w:val="-2"/>
                <w:sz w:val="15"/>
                <w:szCs w:val="15"/>
              </w:rPr>
              <w:t>dźwięku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oraz sporządza wykresy</w:t>
            </w:r>
            <w:r>
              <w:rPr>
                <w:color w:val="000000" w:themeColor="text1"/>
                <w:spacing w:val="-4"/>
                <w:sz w:val="15"/>
                <w:szCs w:val="15"/>
              </w:rPr>
              <w:t>; udowadnia podane zależności,</w:t>
            </w:r>
            <w:r>
              <w:rPr>
                <w:color w:val="000000" w:themeColor="text1"/>
                <w:sz w:val="15"/>
                <w:szCs w:val="15"/>
              </w:rPr>
              <w:t xml:space="preserve"> wyprowadza wzory ilustrujące zależności fizyczne</w:t>
            </w:r>
          </w:p>
          <w:p>
            <w:pPr>
              <w:pStyle w:val="Table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283" w:leader="none"/>
              </w:tabs>
              <w:overflowPunct w:val="false"/>
              <w:spacing w:lineRule="auto" w:line="276"/>
              <w:ind w:left="164" w:hanging="164"/>
              <w:rPr>
                <w:color w:val="000000" w:themeColor="text1"/>
                <w:w w:val="105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 xml:space="preserve">planuje, realizuje i prezentuje własny projekt związany z treściami </w:t>
            </w:r>
            <w:r>
              <w:rPr>
                <w:color w:val="000000" w:themeColor="text1"/>
                <w:spacing w:val="-6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 w:themeColor="text1"/>
                <w:sz w:val="15"/>
                <w:szCs w:val="15"/>
              </w:rPr>
              <w:t xml:space="preserve"> Fale mechaniczne</w:t>
            </w:r>
            <w:r>
              <w:rPr>
                <w:color w:val="000000" w:themeColor="text1"/>
                <w:sz w:val="15"/>
                <w:szCs w:val="15"/>
              </w:rPr>
              <w:t>; formułuje i weryfikuje hipotezy</w:t>
            </w:r>
          </w:p>
        </w:tc>
      </w:tr>
    </w:tbl>
    <w:p>
      <w:pPr>
        <w:pStyle w:val="Normal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cs="Times New Roman" w:ascii="Times New Roman" w:hAnsi="Times New Roman"/>
          <w:color w:val="000000" w:themeColor="text1"/>
          <w:sz w:val="25"/>
          <w:szCs w:val="25"/>
        </w:rPr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agwek1"/>
        <w:overflowPunct w:val="false"/>
        <w:spacing w:before="0" w:after="0"/>
        <w:ind w:left="102" w:hanging="0"/>
        <w:rPr>
          <w:b/>
          <w:b/>
          <w:bCs/>
          <w:color w:val="000000" w:themeColor="text1"/>
        </w:rPr>
      </w:pPr>
      <w:r>
        <w:rPr>
          <w:b/>
          <w:bCs/>
          <w:color w:val="000000" w:themeColor="text1"/>
        </w:rPr>
        <w:t>Sposoby sprawdzania osiągnięć edukacyjnych ucznia</w:t>
      </w:r>
    </w:p>
    <w:p>
      <w:pPr>
        <w:pStyle w:val="Tretekstu"/>
        <w:overflowPunct w:val="false"/>
        <w:spacing w:lineRule="auto" w:line="276" w:before="68" w:after="0"/>
        <w:ind w:left="323" w:hanging="0"/>
        <w:rPr>
          <w:color w:val="000000" w:themeColor="text1"/>
          <w:w w:val="105"/>
        </w:rPr>
      </w:pPr>
      <w:r>
        <w:rPr>
          <w:color w:val="000000" w:themeColor="text1"/>
          <w:w w:val="105"/>
        </w:rPr>
        <w:t>Osiągnięcia edukacyjne ucznia są sprawdzane: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10"/>
          <w:sz w:val="17"/>
          <w:szCs w:val="17"/>
        </w:rPr>
      </w:pPr>
      <w:r>
        <w:rPr>
          <w:color w:val="000000" w:themeColor="text1"/>
          <w:w w:val="110"/>
          <w:sz w:val="17"/>
          <w:szCs w:val="17"/>
        </w:rPr>
        <w:t>ustnie (waga</w:t>
      </w:r>
      <w:r>
        <w:rPr>
          <w:color w:val="000000" w:themeColor="text1"/>
          <w:spacing w:val="-37"/>
          <w:w w:val="110"/>
          <w:sz w:val="17"/>
          <w:szCs w:val="17"/>
        </w:rPr>
        <w:t xml:space="preserve"> </w:t>
      </w:r>
      <w:r>
        <w:rPr>
          <w:color w:val="000000" w:themeColor="text1"/>
          <w:w w:val="110"/>
          <w:sz w:val="17"/>
          <w:szCs w:val="17"/>
        </w:rPr>
        <w:t>0,2),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pisemnie (waga</w:t>
      </w:r>
      <w:r>
        <w:rPr>
          <w:color w:val="000000" w:themeColor="text1"/>
          <w:spacing w:val="10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0,5),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false"/>
        <w:spacing w:lineRule="auto" w:line="276"/>
        <w:ind w:left="323" w:hanging="144"/>
        <w:rPr>
          <w:color w:val="000000" w:themeColor="text1"/>
          <w:w w:val="105"/>
          <w:sz w:val="17"/>
          <w:szCs w:val="17"/>
        </w:rPr>
      </w:pPr>
      <w:r>
        <w:rPr>
          <w:color w:val="000000" w:themeColor="text1"/>
          <w:w w:val="105"/>
          <w:sz w:val="17"/>
          <w:szCs w:val="17"/>
        </w:rPr>
        <w:t>praktycznie, tzn. w trakcie wykonywania doświadczeń (waga</w:t>
      </w:r>
      <w:r>
        <w:rPr>
          <w:color w:val="000000" w:themeColor="text1"/>
          <w:spacing w:val="-15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0,3). Ocena klasyfikacyjna jest średnią ważoną ocen</w:t>
      </w:r>
      <w:r>
        <w:rPr>
          <w:color w:val="000000" w:themeColor="text1"/>
          <w:spacing w:val="13"/>
          <w:w w:val="105"/>
          <w:sz w:val="17"/>
          <w:szCs w:val="17"/>
        </w:rPr>
        <w:t xml:space="preserve"> </w:t>
      </w:r>
      <w:r>
        <w:rPr>
          <w:color w:val="000000" w:themeColor="text1"/>
          <w:w w:val="105"/>
          <w:sz w:val="17"/>
          <w:szCs w:val="17"/>
        </w:rPr>
        <w:t>cząstkowych.</w:t>
      </w:r>
    </w:p>
    <w:p>
      <w:pPr>
        <w:pStyle w:val="Normal"/>
        <w:tabs>
          <w:tab w:val="clear" w:pos="720"/>
          <w:tab w:val="left" w:pos="378" w:leader="none"/>
        </w:tabs>
        <w:overflowPunct w:val="false"/>
        <w:spacing w:lineRule="auto" w:line="252" w:before="120" w:after="120"/>
        <w:ind w:left="125" w:hanging="0"/>
        <w:jc w:val="center"/>
        <w:rPr>
          <w:color w:val="000000" w:themeColor="text1"/>
          <w:w w:val="105"/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ocena</m:t>
          </m:r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ustne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0,2  +  suma ocen „pisemne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0,5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praktyczne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 0.3\} over \{liczba ocen „ustne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0,2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liczba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pisemne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 ∙  0,5 + liczba ocen „praktyczne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0.3</m:t>
          </m:r>
        </m:oMath>
      </m:oMathPara>
    </w:p>
    <w:p>
      <w:pPr>
        <w:pStyle w:val="Tretekstu"/>
        <w:overflowPunct w:val="false"/>
        <w:spacing w:lineRule="auto" w:line="360" w:before="0" w:after="120"/>
        <w:ind w:left="57" w:firstLine="170"/>
        <w:contextualSpacing/>
        <w:rPr>
          <w:rFonts w:ascii="Bookman Old Style" w:hAnsi="Bookman Old Style" w:cs="Bookman Old Style"/>
          <w:b/>
          <w:b/>
          <w:bCs/>
          <w:color w:val="000000" w:themeColor="text1"/>
          <w:w w:val="105"/>
        </w:rPr>
      </w:pPr>
      <w:r>
        <w:rPr>
          <w:color w:val="000000" w:themeColor="text1"/>
          <w:w w:val="105"/>
        </w:rPr>
        <w:t>Na ocenę klasyfikacyjną wpływają również aktywność na lekcji i zaangażowanie w naukę. Te czynniki są brane pod uwagę zwłaszcza wtedy, gdy ocena jest pośrednia (np. 4,5).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br w:type="column"/>
      </w:r>
      <w:r>
        <w:rPr>
          <w:rFonts w:cs="Bookman Old Style" w:ascii="Bookman Old Style" w:hAnsi="Bookman Old Style"/>
          <w:b/>
          <w:bCs/>
          <w:color w:val="000000" w:themeColor="text1"/>
          <w:w w:val="105"/>
        </w:rPr>
        <w:t>Warunki i tryb uzyskiwania oceny wyższej niż przewidywana</w:t>
      </w:r>
    </w:p>
    <w:p>
      <w:pPr>
        <w:pStyle w:val="Tretekstu"/>
        <w:overflowPunct w:val="false"/>
        <w:spacing w:lineRule="auto" w:line="276" w:before="21" w:after="0"/>
        <w:ind w:firstLine="170"/>
        <w:rPr>
          <w:color w:val="000000" w:themeColor="text1"/>
        </w:rPr>
      </w:pPr>
      <w:r>
        <w:rPr>
          <w:color w:val="000000" w:themeColor="text1"/>
        </w:rPr>
        <w:t>Zgodne z zapisami w </w:t>
      </w:r>
      <w:r>
        <w:rPr>
          <w:rFonts w:cs="Bookman Old Style" w:ascii="Bookman Old Style" w:hAnsi="Bookman Old Style"/>
          <w:b/>
          <w:bCs/>
          <w:color w:val="000000" w:themeColor="text1"/>
        </w:rPr>
        <w:t xml:space="preserve">statucie </w:t>
      </w:r>
      <w:r>
        <w:rPr>
          <w:color w:val="000000" w:themeColor="text1"/>
        </w:rPr>
        <w:t>szkoły.</w:t>
      </w:r>
    </w:p>
    <w:p>
      <w:pPr>
        <w:pStyle w:val="Tretekstu"/>
        <w:overflowPunct w:val="false"/>
        <w:spacing w:lineRule="auto" w:line="276" w:before="12" w:after="0"/>
        <w:ind w:firstLine="170"/>
        <w:rPr>
          <w:color w:val="000000" w:themeColor="text1"/>
          <w:w w:val="105"/>
        </w:rPr>
      </w:pPr>
      <w:r>
        <w:rPr>
          <w:color w:val="000000" w:themeColor="text1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jego słabą stroną były oceny „ustne", sprawdzanie odbywa się ustnie.</w:t>
      </w:r>
    </w:p>
    <w:p>
      <w:pPr>
        <w:pStyle w:val="Normal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cs="Times New Roman" w:ascii="Times New Roman" w:hAnsi="Times New Roman"/>
          <w:color w:val="000000" w:themeColor="text1"/>
          <w:sz w:val="25"/>
          <w:szCs w:val="25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cs="Times New Roman" w:ascii="Times New Roman" w:hAnsi="Times New Roman"/>
          <w:color w:val="000000" w:themeColor="text1"/>
          <w:sz w:val="25"/>
          <w:szCs w:val="25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  <w:sz w:val="25"/>
          <w:szCs w:val="25"/>
        </w:rPr>
      </w:pPr>
      <w:r>
        <w:rPr>
          <w:rFonts w:cs="Times New Roman" w:ascii="Times New Roman" w:hAnsi="Times New Roman"/>
          <w:color w:val="000000" w:themeColor="text1"/>
          <w:sz w:val="25"/>
          <w:szCs w:val="25"/>
        </w:rPr>
      </w:r>
    </w:p>
    <w:p>
      <w:pPr>
        <w:sectPr>
          <w:headerReference w:type="default" r:id="rId4"/>
          <w:footerReference w:type="default" r:id="rId5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cols w:num="2" w:space="708" w:equalWidth="true" w:sep="false"/>
          <w:formProt w:val="false"/>
          <w:textDirection w:val="lrTb"/>
          <w:docGrid w:type="default" w:linePitch="100" w:charSpace="0"/>
        </w:sectPr>
      </w:pPr>
    </w:p>
    <w:p>
      <w:pPr>
        <w:pStyle w:val="Tretekstu"/>
        <w:overflowPunct w:val="false"/>
        <w:spacing w:before="11" w:after="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/>
      </w:r>
    </w:p>
    <w:sectPr>
      <w:type w:val="continuous"/>
      <w:pgSz w:orient="landscape" w:w="16838" w:h="11906"/>
      <w:pgMar w:left="1418" w:right="1418" w:gutter="0" w:header="709" w:top="1134" w:footer="709" w:bottom="1701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HelveticaNeueLT Pro 65 Md">
    <w:charset w:val="ee"/>
    <w:family w:val="roman"/>
    <w:pitch w:val="variable"/>
  </w:font>
  <w:font w:name="Times New Roman">
    <w:charset w:val="ee"/>
    <w:family w:val="roman"/>
    <w:pitch w:val="variable"/>
  </w:font>
  <w:font w:name="HelveticaNeueLT Pro 55 Roman">
    <w:charset w:val="01"/>
    <w:family w:val="auto"/>
    <w:pitch w:val="default"/>
  </w:font>
  <w:font w:name="Century Gothic">
    <w:charset w:val="01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 o.o. • www.nowaera.pl</w:t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 o.o. • www.nowaera.pl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12" wp14:anchorId="52CE0315">
              <wp:simplePos x="0" y="0"/>
              <wp:positionH relativeFrom="page">
                <wp:align>left</wp:align>
              </wp:positionH>
              <wp:positionV relativeFrom="paragraph">
                <wp:posOffset>1672590</wp:posOffset>
              </wp:positionV>
              <wp:extent cx="2566670" cy="447040"/>
              <wp:effectExtent l="6985" t="0" r="0" b="0"/>
              <wp:wrapNone/>
              <wp:docPr id="3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080" cy="446400"/>
                        <a:chOff x="0" y="612720"/>
                        <a:chExt cx="2566080" cy="44640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840" y="-67248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12.85pt;margin-top:-4.75pt;width:136.2pt;height:141.1pt" coordorigin="257,-95" coordsize="2724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3" wp14:anchorId="718B8694">
              <wp:simplePos x="0" y="0"/>
              <wp:positionH relativeFrom="page">
                <wp:posOffset>1873250</wp:posOffset>
              </wp:positionH>
              <wp:positionV relativeFrom="page">
                <wp:posOffset>-1024255</wp:posOffset>
              </wp:positionV>
              <wp:extent cx="263525" cy="2799715"/>
              <wp:effectExtent l="0" t="1268095" r="0" b="1250950"/>
              <wp:wrapNone/>
              <wp:docPr id="4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800" cy="2799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fals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2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7.5pt;margin-top:-80.65pt;width:20.65pt;height:220.35pt;mso-wrap-style:square;v-text-anchor:top;rotation:90;mso-position-horizontal-relative:page;mso-position-vertical-relative:page" wp14:anchorId="718B8694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fals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2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35" wp14:anchorId="52CE0315">
              <wp:simplePos x="0" y="0"/>
              <wp:positionH relativeFrom="page">
                <wp:align>left</wp:align>
              </wp:positionH>
              <wp:positionV relativeFrom="paragraph">
                <wp:posOffset>1672590</wp:posOffset>
              </wp:positionV>
              <wp:extent cx="2566670" cy="447040"/>
              <wp:effectExtent l="6985" t="0" r="0" b="0"/>
              <wp:wrapNone/>
              <wp:docPr id="6" name="Group 1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6080" cy="446400"/>
                        <a:chOff x="0" y="612720"/>
                        <a:chExt cx="2566080" cy="446400"/>
                      </a:xfrm>
                    </wpg:grpSpPr>
                    <wps:wsp>
                      <wps:cNvSpPr/>
                      <wps:spPr>
                        <a:xfrm rot="16200000">
                          <a:off x="163080" y="-163080"/>
                          <a:ext cx="44640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840" y="-672480"/>
                          <a:ext cx="44640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1" style="position:absolute;margin-left:12.85pt;margin-top:-4.75pt;width:136.2pt;height:141.1pt" coordorigin="257,-95" coordsize="2724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6" wp14:anchorId="718B8694">
              <wp:simplePos x="0" y="0"/>
              <wp:positionH relativeFrom="page">
                <wp:posOffset>1873250</wp:posOffset>
              </wp:positionH>
              <wp:positionV relativeFrom="page">
                <wp:posOffset>-1024255</wp:posOffset>
              </wp:positionV>
              <wp:extent cx="263525" cy="2799715"/>
              <wp:effectExtent l="0" t="1268095" r="0" b="1250950"/>
              <wp:wrapNone/>
              <wp:docPr id="7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800" cy="2799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fals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13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147.5pt;margin-top:-80.65pt;width:20.65pt;height:220.35pt;mso-wrap-style:square;v-text-anchor:top;rotation:90;mso-position-horizontal-relative:page;mso-position-vertical-relative:page" wp14:anchorId="718B8694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fals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13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929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829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279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729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178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628" w:hanging="194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Century Gothic" w:hAnsi="Century Gothic" w:cs="Century Gothic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54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29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303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578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852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127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401" w:hanging="194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282" w:hanging="167"/>
      </w:pPr>
      <w:rPr>
        <w:rFonts w:ascii="Symbol" w:hAnsi="Symbol" w:cs="Symbol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450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20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790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60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131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301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471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641" w:hanging="167"/>
      </w:pPr>
      <w:rPr>
        <w:rFonts w:ascii="Symbol" w:hAnsi="Symbol" w:cs="Symbol" w:hint="default"/>
      </w:rPr>
    </w:lvl>
  </w:abstractNum>
  <w:abstractNum w:abstractNumId="4">
    <w:lvl w:ilvl="0">
      <w:numFmt w:val="bullet"/>
      <w:lvlText w:val="•"/>
      <w:lvlJc w:val="left"/>
      <w:pPr>
        <w:tabs>
          <w:tab w:val="num" w:pos="0"/>
        </w:tabs>
        <w:ind w:left="841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18" w:hanging="222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96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74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52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30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08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86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64" w:hanging="222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282" w:hanging="167"/>
      </w:pPr>
      <w:rPr>
        <w:rFonts w:ascii="Symbol" w:hAnsi="Symbol" w:cs="Symbol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43" w:hanging="167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007" w:hanging="167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371" w:hanging="167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735" w:hanging="167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099" w:hanging="167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463" w:hanging="167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827" w:hanging="167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3191" w:hanging="167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4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07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2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5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6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8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2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3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4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5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6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7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8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9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4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5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6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8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9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0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1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2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3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4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3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7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3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4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5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8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1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2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3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4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6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0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1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3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4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5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6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7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9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6"/>
  </w:num>
  <w:num w:numId="183">
    <w:abstractNumId w:val="6"/>
  </w:num>
  <w:num w:numId="184">
    <w:abstractNumId w:val="6"/>
  </w:num>
  <w:num w:numId="185">
    <w:abstractNumId w:val="6"/>
  </w:num>
  <w:num w:numId="186">
    <w:abstractNumId w:val="6"/>
  </w:num>
  <w:num w:numId="187">
    <w:abstractNumId w:val="8"/>
  </w:num>
  <w:num w:numId="188">
    <w:abstractNumId w:val="8"/>
  </w:num>
  <w:num w:numId="189">
    <w:abstractNumId w:val="8"/>
  </w:num>
  <w:num w:numId="190">
    <w:abstractNumId w:val="8"/>
  </w:num>
  <w:num w:numId="191">
    <w:abstractNumId w:val="8"/>
  </w:num>
  <w:num w:numId="192">
    <w:abstractNumId w:val="8"/>
  </w:num>
  <w:num w:numId="193">
    <w:abstractNumId w:val="8"/>
  </w:num>
  <w:num w:numId="194">
    <w:abstractNumId w:val="8"/>
  </w:num>
  <w:num w:numId="195">
    <w:abstractNumId w:val="8"/>
  </w:num>
  <w:num w:numId="196">
    <w:abstractNumId w:val="10"/>
  </w:num>
  <w:num w:numId="197">
    <w:abstractNumId w:val="10"/>
  </w:num>
  <w:num w:numId="198">
    <w:abstractNumId w:val="10"/>
  </w:num>
  <w:num w:numId="199">
    <w:abstractNumId w:val="10"/>
  </w:num>
  <w:num w:numId="200">
    <w:abstractNumId w:val="10"/>
  </w:num>
  <w:num w:numId="201">
    <w:abstractNumId w:val="8"/>
  </w:num>
  <w:num w:numId="202">
    <w:abstractNumId w:val="9"/>
  </w:num>
  <w:num w:numId="203">
    <w:abstractNumId w:val="9"/>
  </w:num>
  <w:num w:numId="204">
    <w:abstractNumId w:val="9"/>
  </w:num>
  <w:num w:numId="205">
    <w:abstractNumId w:val="9"/>
  </w:num>
  <w:num w:numId="206">
    <w:abstractNumId w:val="9"/>
  </w:num>
  <w:num w:numId="207">
    <w:abstractNumId w:val="9"/>
  </w:num>
  <w:num w:numId="208">
    <w:abstractNumId w:val="7"/>
  </w:num>
  <w:num w:numId="209">
    <w:abstractNumId w:val="11"/>
  </w:num>
  <w:num w:numId="210">
    <w:abstractNumId w:val="11"/>
  </w:num>
  <w:num w:numId="211">
    <w:abstractNumId w:val="11"/>
  </w:num>
  <w:num w:numId="212">
    <w:abstractNumId w:val="7"/>
  </w:num>
  <w:num w:numId="213">
    <w:abstractNumId w:val="7"/>
  </w:num>
  <w:num w:numId="214">
    <w:abstractNumId w:val="7"/>
  </w:num>
  <w:num w:numId="215">
    <w:abstractNumId w:val="7"/>
  </w:num>
  <w:num w:numId="216">
    <w:abstractNumId w:val="7"/>
  </w:num>
  <w:num w:numId="217">
    <w:abstractNumId w:val="7"/>
  </w:num>
  <w:num w:numId="218">
    <w:abstractNumId w:val="7"/>
  </w:num>
  <w:num w:numId="219">
    <w:abstractNumId w:val="13"/>
  </w:num>
  <w:num w:numId="220">
    <w:abstractNumId w:val="13"/>
  </w:num>
  <w:num w:numId="221">
    <w:abstractNumId w:val="13"/>
  </w:num>
  <w:num w:numId="222">
    <w:abstractNumId w:val="13"/>
  </w:num>
  <w:num w:numId="223">
    <w:abstractNumId w:val="7"/>
  </w:num>
  <w:num w:numId="224">
    <w:abstractNumId w:val="12"/>
  </w:num>
  <w:num w:numId="225">
    <w:abstractNumId w:val="12"/>
  </w:num>
  <w:num w:numId="226">
    <w:abstractNumId w:val="12"/>
  </w:num>
  <w:num w:numId="227">
    <w:abstractNumId w:val="12"/>
  </w:num>
  <w:num w:numId="228">
    <w:abstractNumId w:val="12"/>
  </w:num>
  <w:num w:numId="229">
    <w:abstractNumId w:val="12"/>
  </w:num>
  <w:num w:numId="230">
    <w:abstractNumId w:val="7"/>
  </w:num>
  <w:num w:numId="231">
    <w:abstractNumId w:val="7"/>
  </w:num>
  <w:num w:numId="232">
    <w:abstractNumId w:val="11"/>
  </w:num>
  <w:num w:numId="233">
    <w:abstractNumId w:val="11"/>
  </w:num>
  <w:num w:numId="234">
    <w:abstractNumId w:val="11"/>
  </w:num>
  <w:num w:numId="235">
    <w:abstractNumId w:val="15"/>
  </w:num>
  <w:num w:numId="236">
    <w:abstractNumId w:val="15"/>
  </w:num>
  <w:num w:numId="237">
    <w:abstractNumId w:val="15"/>
  </w:num>
  <w:num w:numId="238">
    <w:abstractNumId w:val="15"/>
  </w:num>
  <w:num w:numId="239">
    <w:abstractNumId w:val="15"/>
  </w:num>
  <w:num w:numId="240">
    <w:abstractNumId w:val="15"/>
  </w:num>
  <w:num w:numId="241">
    <w:abstractNumId w:val="6"/>
  </w:num>
  <w:num w:numId="242">
    <w:abstractNumId w:val="6"/>
  </w:num>
  <w:num w:numId="243">
    <w:abstractNumId w:val="6"/>
  </w:num>
  <w:num w:numId="244">
    <w:abstractNumId w:val="6"/>
  </w:num>
  <w:num w:numId="245">
    <w:abstractNumId w:val="6"/>
  </w:num>
  <w:num w:numId="246">
    <w:abstractNumId w:val="6"/>
  </w:num>
  <w:num w:numId="247">
    <w:abstractNumId w:val="6"/>
  </w:num>
  <w:num w:numId="248">
    <w:abstractNumId w:val="6"/>
  </w:num>
  <w:num w:numId="249">
    <w:abstractNumId w:val="6"/>
  </w:num>
  <w:num w:numId="250">
    <w:abstractNumId w:val="6"/>
  </w:num>
  <w:num w:numId="251">
    <w:abstractNumId w:val="6"/>
  </w:num>
  <w:num w:numId="252">
    <w:abstractNumId w:val="6"/>
  </w:num>
  <w:num w:numId="253">
    <w:abstractNumId w:val="6"/>
  </w:num>
  <w:num w:numId="254">
    <w:abstractNumId w:val="6"/>
  </w:num>
  <w:num w:numId="255">
    <w:abstractNumId w:val="6"/>
  </w:num>
  <w:num w:numId="256">
    <w:abstractNumId w:val="6"/>
  </w:num>
  <w:num w:numId="257">
    <w:abstractNumId w:val="6"/>
  </w:num>
  <w:num w:numId="258">
    <w:abstractNumId w:val="6"/>
  </w:num>
  <w:num w:numId="259">
    <w:abstractNumId w:val="6"/>
  </w:num>
  <w:num w:numId="260">
    <w:abstractNumId w:val="6"/>
  </w:num>
  <w:num w:numId="261">
    <w:abstractNumId w:val="6"/>
  </w:num>
  <w:num w:numId="262">
    <w:abstractNumId w:val="8"/>
  </w:num>
  <w:num w:numId="263">
    <w:abstractNumId w:val="8"/>
  </w:num>
  <w:num w:numId="264">
    <w:abstractNumId w:val="8"/>
  </w:num>
  <w:num w:numId="265">
    <w:abstractNumId w:val="8"/>
  </w:num>
  <w:num w:numId="266">
    <w:abstractNumId w:val="8"/>
  </w:num>
  <w:num w:numId="267">
    <w:abstractNumId w:val="8"/>
  </w:num>
  <w:num w:numId="268">
    <w:abstractNumId w:val="8"/>
  </w:num>
  <w:num w:numId="269">
    <w:abstractNumId w:val="8"/>
  </w:num>
  <w:num w:numId="270">
    <w:abstractNumId w:val="8"/>
  </w:num>
  <w:num w:numId="271">
    <w:abstractNumId w:val="8"/>
  </w:num>
  <w:num w:numId="272">
    <w:abstractNumId w:val="8"/>
  </w:num>
  <w:num w:numId="273">
    <w:abstractNumId w:val="8"/>
  </w:num>
  <w:num w:numId="274">
    <w:abstractNumId w:val="8"/>
  </w:num>
  <w:num w:numId="275">
    <w:abstractNumId w:val="8"/>
  </w:num>
  <w:num w:numId="276">
    <w:abstractNumId w:val="8"/>
  </w:num>
  <w:num w:numId="277">
    <w:abstractNumId w:val="8"/>
  </w:num>
  <w:num w:numId="278">
    <w:abstractNumId w:val="8"/>
  </w:num>
  <w:num w:numId="279">
    <w:abstractNumId w:val="8"/>
  </w:num>
  <w:num w:numId="280">
    <w:abstractNumId w:val="8"/>
  </w:num>
  <w:num w:numId="281">
    <w:abstractNumId w:val="8"/>
  </w:num>
  <w:num w:numId="282">
    <w:abstractNumId w:val="8"/>
  </w:num>
  <w:num w:numId="283">
    <w:abstractNumId w:val="8"/>
  </w:num>
  <w:num w:numId="284">
    <w:abstractNumId w:val="10"/>
  </w:num>
  <w:num w:numId="285">
    <w:abstractNumId w:val="10"/>
  </w:num>
  <w:num w:numId="286">
    <w:abstractNumId w:val="10"/>
  </w:num>
  <w:num w:numId="287">
    <w:abstractNumId w:val="8"/>
  </w:num>
  <w:num w:numId="288">
    <w:abstractNumId w:val="9"/>
  </w:num>
  <w:num w:numId="289">
    <w:abstractNumId w:val="9"/>
  </w:num>
  <w:num w:numId="290">
    <w:abstractNumId w:val="9"/>
  </w:num>
  <w:num w:numId="291">
    <w:abstractNumId w:val="9"/>
  </w:num>
  <w:num w:numId="292">
    <w:abstractNumId w:val="9"/>
  </w:num>
  <w:num w:numId="293">
    <w:abstractNumId w:val="9"/>
  </w:num>
  <w:num w:numId="294">
    <w:abstractNumId w:val="9"/>
  </w:num>
  <w:num w:numId="295">
    <w:abstractNumId w:val="7"/>
  </w:num>
  <w:num w:numId="296">
    <w:abstractNumId w:val="8"/>
  </w:num>
  <w:num w:numId="297">
    <w:abstractNumId w:val="7"/>
  </w:num>
  <w:num w:numId="298">
    <w:abstractNumId w:val="7"/>
  </w:num>
  <w:num w:numId="299">
    <w:abstractNumId w:val="7"/>
  </w:num>
  <w:num w:numId="300">
    <w:abstractNumId w:val="7"/>
  </w:num>
  <w:num w:numId="301">
    <w:abstractNumId w:val="7"/>
  </w:num>
  <w:num w:numId="302">
    <w:abstractNumId w:val="7"/>
  </w:num>
  <w:num w:numId="303">
    <w:abstractNumId w:val="7"/>
  </w:num>
  <w:num w:numId="304">
    <w:abstractNumId w:val="7"/>
  </w:num>
  <w:num w:numId="305">
    <w:abstractNumId w:val="7"/>
  </w:num>
  <w:num w:numId="306">
    <w:abstractNumId w:val="7"/>
  </w:num>
  <w:num w:numId="307">
    <w:abstractNumId w:val="7"/>
  </w:num>
  <w:num w:numId="308">
    <w:abstractNumId w:val="7"/>
  </w:num>
  <w:num w:numId="309">
    <w:abstractNumId w:val="7"/>
  </w:num>
  <w:num w:numId="310">
    <w:abstractNumId w:val="7"/>
  </w:num>
  <w:num w:numId="311">
    <w:abstractNumId w:val="7"/>
  </w:num>
  <w:num w:numId="312">
    <w:abstractNumId w:val="7"/>
  </w:num>
  <w:num w:numId="313">
    <w:abstractNumId w:val="13"/>
  </w:num>
  <w:num w:numId="314">
    <w:abstractNumId w:val="13"/>
  </w:num>
  <w:num w:numId="315">
    <w:abstractNumId w:val="13"/>
  </w:num>
  <w:num w:numId="316">
    <w:abstractNumId w:val="7"/>
  </w:num>
  <w:num w:numId="317">
    <w:abstractNumId w:val="12"/>
  </w:num>
  <w:num w:numId="318">
    <w:abstractNumId w:val="12"/>
  </w:num>
  <w:num w:numId="319">
    <w:abstractNumId w:val="12"/>
  </w:num>
  <w:num w:numId="320">
    <w:abstractNumId w:val="12"/>
  </w:num>
  <w:num w:numId="321">
    <w:abstractNumId w:val="12"/>
  </w:num>
  <w:num w:numId="322">
    <w:abstractNumId w:val="12"/>
  </w:num>
  <w:num w:numId="323">
    <w:abstractNumId w:val="12"/>
  </w:num>
  <w:num w:numId="324">
    <w:abstractNumId w:val="12"/>
  </w:num>
  <w:num w:numId="325">
    <w:abstractNumId w:val="7"/>
  </w:num>
  <w:num w:numId="326">
    <w:abstractNumId w:val="11"/>
  </w:num>
  <w:num w:numId="327">
    <w:abstractNumId w:val="11"/>
  </w:num>
  <w:num w:numId="328">
    <w:abstractNumId w:val="14"/>
  </w:num>
  <w:num w:numId="329">
    <w:abstractNumId w:val="14"/>
  </w:num>
  <w:num w:numId="330">
    <w:abstractNumId w:val="14"/>
  </w:num>
  <w:num w:numId="331">
    <w:abstractNumId w:val="14"/>
  </w:num>
  <w:num w:numId="332">
    <w:abstractNumId w:val="14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HelveticaNeueLT Pro 55 Roman" w:hAnsi="HelveticaNeueLT Pro 55 Roman" w:eastAsia="" w:cs="HelveticaNeueLT Pro 55 Roman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link w:val="Nagwek1"/>
    <w:uiPriority w:val="9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85401"/>
    <w:rPr>
      <w:rFonts w:ascii="HelveticaNeueLT Pro 55 Roman" w:hAnsi="HelveticaNeueLT Pro 55 Roman" w:cs="HelveticaNeueLT Pro 55 Roman"/>
      <w:sz w:val="24"/>
      <w:szCs w:val="24"/>
    </w:rPr>
  </w:style>
  <w:style w:type="character" w:styleId="StopkaScZnak" w:customStyle="1">
    <w:name w:val="stopka_Sc Znak"/>
    <w:basedOn w:val="StopkaZnak"/>
    <w:link w:val="stopkaSc"/>
    <w:qFormat/>
    <w:rsid w:val="00b71e47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656e8"/>
    <w:rPr>
      <w:rFonts w:ascii="Segoe UI" w:hAnsi="Segoe UI" w:eastAsia="Times New Roman" w:cs="Times New Roman"/>
      <w:sz w:val="18"/>
      <w:szCs w:val="18"/>
      <w:lang w:val="x-none" w:eastAsia="x-none"/>
    </w:rPr>
  </w:style>
  <w:style w:type="character" w:styleId="PlaceholderText">
    <w:name w:val="Placeholder Text"/>
    <w:basedOn w:val="DefaultParagraphFont"/>
    <w:uiPriority w:val="99"/>
    <w:semiHidden/>
    <w:qFormat/>
    <w:rsid w:val="003656e8"/>
    <w:rPr>
      <w:color w:val="80808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841" w:hanging="0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85401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Sc" w:customStyle="1">
    <w:name w:val="stopka_Sc"/>
    <w:basedOn w:val="Stopka"/>
    <w:link w:val="stopkaScZnak"/>
    <w:qFormat/>
    <w:rsid w:val="00b71e47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656e8"/>
    <w:pPr>
      <w:widowControl/>
    </w:pPr>
    <w:rPr>
      <w:rFonts w:ascii="Segoe UI" w:hAnsi="Segoe UI" w:eastAsia="Times New Roman" w:cs="Times New Roman"/>
      <w:sz w:val="18"/>
      <w:szCs w:val="18"/>
      <w:lang w:val="x-none" w:eastAsia="x-none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ustomXml" Target="../customXml/item4.xml"/><Relationship Id="rId3" Type="http://schemas.openxmlformats.org/officeDocument/2006/relationships/footer" Target="footer1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4" Type="http://schemas.openxmlformats.org/officeDocument/2006/relationships/header" Target="header2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F01D09E7-5378-4806-B15A-EF0E25947A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1C5B2B-2747-4B0D-9BB8-86A5F0109B14}"/>
</file>

<file path=customXml/itemProps3.xml><?xml version="1.0" encoding="utf-8"?>
<ds:datastoreItem xmlns:ds="http://schemas.openxmlformats.org/officeDocument/2006/customXml" ds:itemID="{2E89688C-AC7D-477A-827E-86EFF815BB4B}"/>
</file>

<file path=customXml/itemProps4.xml><?xml version="1.0" encoding="utf-8"?>
<ds:datastoreItem xmlns:ds="http://schemas.openxmlformats.org/officeDocument/2006/customXml" ds:itemID="{CC9EA4E4-2FCE-49F3-A724-77852EA45C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LibreOffice/7.2.0.4$Windows_X86_64 LibreOffice_project/9a9c6381e3f7a62afc1329bd359cc48accb6435b</Application>
  <AppVersion>15.0000</AppVersion>
  <Pages>12</Pages>
  <Words>5863</Words>
  <Characters>38309</Characters>
  <CharactersWithSpaces>43367</CharactersWithSpaces>
  <Paragraphs>465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06645707 ZrozFiz_ZR cz1 KN_PSO_ZR</dc:title>
  <dc:subject/>
  <dc:creator>d.okulewicz</dc:creator>
  <dc:description/>
  <cp:lastModifiedBy/>
  <cp:revision>4</cp:revision>
  <dcterms:created xsi:type="dcterms:W3CDTF">2020-07-31T07:18:00Z</dcterms:created>
  <dcterms:modified xsi:type="dcterms:W3CDTF">2022-09-01T15:21:24Z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0x010100CD20A3AC4654554E817425738F4C93B5</vt:lpwstr>
  </property>
</Properties>
</file>