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Tretekstu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Tretekstu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Tretekstu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color w:val="000000"/>
          <w:sz w:val="37"/>
          <w:szCs w:val="37"/>
        </w:rPr>
      </w:r>
    </w:p>
    <w:p>
      <w:pPr>
        <w:pStyle w:val="Normal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color w:val="000000"/>
          <w:sz w:val="37"/>
          <w:szCs w:val="37"/>
        </w:rPr>
      </w:r>
    </w:p>
    <w:p>
      <w:pPr>
        <w:pStyle w:val="Normal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color w:val="000000"/>
          <w:sz w:val="37"/>
          <w:szCs w:val="37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b/>
          <w:bCs/>
          <w:color w:val="FFFFFF"/>
          <w:sz w:val="37"/>
          <w:szCs w:val="37"/>
          <w:highlight w:val="darkBlue"/>
        </w:rPr>
        <w:t>WYMAGANIA EDUKACYJNE Z FIZYKI</w:t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b/>
          <w:bCs/>
          <w:color w:val="FFFFFF"/>
          <w:sz w:val="37"/>
          <w:szCs w:val="37"/>
          <w:highlight w:val="darkBlue"/>
        </w:rPr>
        <w:t>DLA KLASY IV</w:t>
      </w:r>
      <w:r>
        <w:rPr>
          <w:rFonts w:eastAsia="Arial Rounded MT Bold" w:cs="Arial Rounded MT Bold" w:ascii="Arial Rounded MT Bold" w:hAnsi="Arial Rounded MT Bold"/>
          <w:b/>
          <w:bCs/>
          <w:color w:val="FFFFFF"/>
          <w:sz w:val="37"/>
          <w:szCs w:val="37"/>
          <w:highlight w:val="darkBlue"/>
        </w:rPr>
        <w:t xml:space="preserve"> w</w:t>
      </w:r>
      <w:r>
        <w:rPr>
          <w:rFonts w:eastAsia="Arial Rounded MT Bold" w:cs="Arial Rounded MT Bold" w:ascii="Arial Rounded MT Bold" w:hAnsi="Arial Rounded MT Bold"/>
          <w:b/>
          <w:bCs/>
          <w:color w:val="FFFFFF"/>
          <w:sz w:val="37"/>
          <w:szCs w:val="37"/>
          <w:highlight w:val="darkBlue"/>
        </w:rPr>
        <w:t xml:space="preserve"> II LO W MALBORKU</w:t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b/>
          <w:bCs/>
          <w:color w:val="FFFFFF"/>
          <w:sz w:val="37"/>
          <w:szCs w:val="37"/>
          <w:highlight w:val="darkBlue"/>
        </w:rPr>
        <w:t>"ZROZUMIEĆ FIZYKĘ"</w:t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sz w:val="44"/>
          <w:szCs w:val="44"/>
        </w:rPr>
        <w:t>Dorota Konefał</w:t>
      </w:r>
    </w:p>
    <w:p>
      <w:pPr>
        <w:pStyle w:val="Normal"/>
        <w:jc w:val="center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/>
      </w:r>
    </w:p>
    <w:p>
      <w:pPr>
        <w:pStyle w:val="Normal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eastAsia="Arial Rounded MT Bold" w:cs="Arial Rounded MT Bold" w:ascii="Arial Rounded MT Bold" w:hAnsi="Arial Rounded MT Bold"/>
          <w:color w:val="000000"/>
          <w:sz w:val="37"/>
          <w:szCs w:val="37"/>
        </w:rPr>
      </w:r>
    </w:p>
    <w:p>
      <w:pPr>
        <w:pStyle w:val="Tretekstu"/>
        <w:overflowPunct w:val="false"/>
        <w:spacing w:before="171" w:after="0"/>
        <w:rPr>
          <w:rFonts w:ascii="Arial" w:hAnsi="Arial" w:cs="Arial"/>
          <w:b/>
          <w:b/>
          <w:color w:val="000000" w:themeColor="text1"/>
          <w:sz w:val="36"/>
          <w:szCs w:val="36"/>
        </w:rPr>
      </w:pPr>
      <w:r>
        <w:rPr>
          <w:rFonts w:cs="Arial" w:ascii="Arial" w:hAnsi="Arial"/>
          <w:b/>
          <w:color w:val="000000" w:themeColor="text1"/>
          <w:sz w:val="36"/>
          <w:szCs w:val="36"/>
        </w:rPr>
        <w:t xml:space="preserve">Przedmiotowy system oceniania </w:t>
      </w:r>
      <w:r>
        <w:rPr>
          <w:rFonts w:cs="Arial" w:ascii="Arial" w:hAnsi="Arial"/>
          <w:b/>
          <w:color w:val="000000" w:themeColor="text1"/>
          <w:sz w:val="36"/>
          <w:szCs w:val="36"/>
        </w:rPr>
        <w:t>z fizyki klasa IV zakres rozszerzony</w:t>
      </w:r>
    </w:p>
    <w:p>
      <w:pPr>
        <w:pStyle w:val="Nagwek1"/>
        <w:overflowPunct w:val="false"/>
        <w:spacing w:lineRule="auto" w:line="360"/>
        <w:ind w:left="454" w:right="567" w:hanging="0"/>
        <w:jc w:val="left"/>
        <w:rPr>
          <w:rFonts w:ascii="Arial" w:hAnsi="Arial" w:cs="Arial"/>
          <w:b w:val="false"/>
          <w:b w:val="false"/>
          <w:color w:val="000000" w:themeColor="text1"/>
        </w:rPr>
      </w:pPr>
      <w:r>
        <w:pict>
          <v:shape id="shape_0" coordsize="266,266" path="m0,0l0,265l265,265l265,0l0,0e" fillcolor="#93c73c" stroked="f" o:allowincell="f" style="position:absolute;margin-left:82.05pt;margin-top:5.65pt;width:7.45pt;height:7.45pt;mso-wrap-style:none;v-text-anchor:middle;mso-position-horizontal-relative:page">
            <v:fill o:detectmouseclick="t" type="solid" color2="#6c38c3"/>
            <v:stroke color="#3465a4" joinstyle="round" endcap="flat"/>
            <w10:wrap type="none"/>
          </v:shape>
        </w:pict>
      </w:r>
      <w:r>
        <w:rPr>
          <w:rFonts w:cs="Arial" w:ascii="Arial" w:hAnsi="Arial"/>
          <w:color w:val="000000" w:themeColor="text1"/>
        </w:rPr>
        <w:t>Zasady ogólne</w:t>
      </w:r>
    </w:p>
    <w:p>
      <w:pPr>
        <w:pStyle w:val="ListParagraph"/>
        <w:numPr>
          <w:ilvl w:val="0"/>
          <w:numId w:val="40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rFonts w:cs="Century Gothic"/>
          <w:color w:val="000000" w:themeColor="text1"/>
          <w:sz w:val="17"/>
          <w:szCs w:val="17"/>
        </w:rPr>
        <w:t xml:space="preserve">Na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podstawowym </w:t>
      </w:r>
      <w:r>
        <w:rPr>
          <w:color w:val="000000" w:themeColor="text1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obowiązkowe </w:t>
      </w:r>
      <w:r>
        <w:rPr>
          <w:color w:val="000000" w:themeColor="text1"/>
          <w:sz w:val="17"/>
          <w:szCs w:val="17"/>
        </w:rPr>
        <w:t xml:space="preserve">(na stopień dopuszczający - łatwe; na stopień dostateczny - umiarkowanie trudne); niektóre czynności ucznia mogą być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wspomagane </w:t>
      </w:r>
      <w:r>
        <w:rPr>
          <w:color w:val="000000" w:themeColor="text1"/>
          <w:sz w:val="17"/>
          <w:szCs w:val="17"/>
        </w:rPr>
        <w:t>przez nauczyciela (np. wykonywanie doświadczeń, rozwiązywanie problemów, przy czym na stopień dostateczny uczeń 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40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Czynności wymagane na poziomach wymagań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wyższych </w:t>
      </w:r>
      <w:r>
        <w:rPr>
          <w:color w:val="000000" w:themeColor="text1"/>
          <w:sz w:val="17"/>
          <w:szCs w:val="17"/>
        </w:rPr>
        <w:t xml:space="preserve">niż poziom podstawowy uczeń powinien wykonać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samodzielnie </w:t>
      </w:r>
      <w:r>
        <w:rPr>
          <w:color w:val="000000" w:themeColor="text1"/>
          <w:sz w:val="17"/>
          <w:szCs w:val="17"/>
        </w:rPr>
        <w:t>(na stopień dobry niekiedy może jeszcze korzystać z niewielkiego wsparcia nauczyciela).</w:t>
      </w:r>
    </w:p>
    <w:p>
      <w:pPr>
        <w:pStyle w:val="ListParagraph"/>
        <w:numPr>
          <w:ilvl w:val="0"/>
          <w:numId w:val="40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W wypadku wymagań na stopnie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wyższe </w:t>
      </w:r>
      <w:r>
        <w:rPr>
          <w:color w:val="000000" w:themeColor="text1"/>
          <w:sz w:val="17"/>
          <w:szCs w:val="17"/>
        </w:rPr>
        <w:t xml:space="preserve">niż dostateczny uczeń wykonuje zadania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dodatkowe </w:t>
      </w:r>
      <w:r>
        <w:rPr>
          <w:color w:val="000000" w:themeColor="text1"/>
          <w:sz w:val="17"/>
          <w:szCs w:val="17"/>
        </w:rPr>
        <w:t>(na stopień dobry - umiarkowanie trudne; na stopień bardzo dobry - trudne).</w:t>
      </w:r>
    </w:p>
    <w:p>
      <w:pPr>
        <w:pStyle w:val="ListParagraph"/>
        <w:numPr>
          <w:ilvl w:val="0"/>
          <w:numId w:val="40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celującego </w:t>
      </w:r>
      <w:r>
        <w:rPr>
          <w:color w:val="000000" w:themeColor="text1"/>
          <w:sz w:val="17"/>
          <w:szCs w:val="17"/>
        </w:rPr>
        <w:t xml:space="preserve">obejmują wymagania na stopień bardzo dobry, a ponadto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wykraczające </w:t>
      </w:r>
      <w:r>
        <w:rPr>
          <w:color w:val="000000" w:themeColor="text1"/>
          <w:sz w:val="17"/>
          <w:szCs w:val="17"/>
        </w:rPr>
        <w:t>poza obowiązujący program nauczania (uczeń jest twórczy, rozwiązuje zadania problemowe w sposób niekonwencjonalny; potrafi dokonać syntezy wiedzy, a na tej podstawie sformułować hipotezy badawcze i zaproponować sposób ich weryfikacji; samodzielnie prowadzi badania o charakterze naukowym; z własnej inicjatywy pogłębia wiedzę, korzystając z różnych źródeł; poszukuje zastosowań wiedzy w praktyce; dzieli się wiedzą z innymi uczniami; osiąga sukcesy w konkursach pozaszkolnych z dziedziny fizyki lub w olimpiadzie fizycznej).</w:t>
      </w:r>
    </w:p>
    <w:p>
      <w:pPr>
        <w:pStyle w:val="Nagwek1"/>
        <w:overflowPunct w:val="false"/>
        <w:spacing w:lineRule="auto" w:line="360" w:before="120" w:after="0"/>
        <w:ind w:left="454" w:right="567" w:hanging="0"/>
        <w:jc w:val="left"/>
        <w:rPr>
          <w:rFonts w:ascii="Arial" w:hAnsi="Arial" w:cs="Arial"/>
          <w:b w:val="false"/>
          <w:b w:val="false"/>
          <w:color w:val="000000" w:themeColor="text1"/>
        </w:rPr>
      </w:pPr>
      <w:r>
        <w:pict>
          <v:shape id="shape_0" coordsize="266,266" path="m0,0l0,265l265,265l265,0l0,0e" fillcolor="#93c73c" stroked="f" o:allowincell="f" style="position:absolute;margin-left:82.05pt;margin-top:5.65pt;width:7.45pt;height:7.45pt;mso-wrap-style:none;v-text-anchor:middle;mso-position-horizontal-relative:page">
            <v:fill o:detectmouseclick="t" type="solid" color2="#6c38c3"/>
            <v:stroke color="#3465a4" joinstyle="round" endcap="flat"/>
            <w10:wrap type="none"/>
          </v:shape>
        </w:pict>
      </w:r>
      <w:r>
        <w:rPr>
          <w:rFonts w:cs="Arial" w:ascii="Arial" w:hAnsi="Arial"/>
          <w:color w:val="000000" w:themeColor="text1"/>
        </w:rPr>
        <w:t>Wymagania ogólne – uczeń:</w:t>
      </w:r>
    </w:p>
    <w:p>
      <w:pPr>
        <w:pStyle w:val="ListParagraph"/>
        <w:numPr>
          <w:ilvl w:val="0"/>
          <w:numId w:val="39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wykorzystuje pojęcia i wielkości fizyczne do opisu zjawisk i wskazuje ich przykłady w otoczeniu,</w:t>
      </w:r>
    </w:p>
    <w:p>
      <w:pPr>
        <w:pStyle w:val="ListParagraph"/>
        <w:numPr>
          <w:ilvl w:val="0"/>
          <w:numId w:val="39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rozwiązuje problemy, wykorzystując prawa i zależności fizyczne,</w:t>
      </w:r>
    </w:p>
    <w:p>
      <w:pPr>
        <w:pStyle w:val="ListParagraph"/>
        <w:numPr>
          <w:ilvl w:val="0"/>
          <w:numId w:val="39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planuje i przeprowadza obserwacje i doświadczenia, wnioskuje na podstawie ich wyników,</w:t>
      </w:r>
    </w:p>
    <w:p>
      <w:pPr>
        <w:pStyle w:val="ListParagraph"/>
        <w:numPr>
          <w:ilvl w:val="0"/>
          <w:numId w:val="39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posługuje się informacjami pochodzącymi z analizy materiałów źródłowych, w tym tekstów popularnonaukowych. </w:t>
      </w:r>
    </w:p>
    <w:p>
      <w:pPr>
        <w:pStyle w:val="ListParagraph"/>
        <w:tabs>
          <w:tab w:val="clear" w:pos="708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Ponadto: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sprawnie się komunikuje i stosuje terminologię właściwą dla fizyki,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kreatywnie rozwiązuje problemy z dziedziny fizyki, </w:t>
      </w:r>
      <w:r>
        <w:rPr>
          <w:rFonts w:cs="Bookman Old Style" w:ascii="Bookman Old Style" w:hAnsi="Bookman Old Style"/>
          <w:b/>
          <w:bCs/>
          <w:color w:val="000000" w:themeColor="text1"/>
          <w:sz w:val="17"/>
          <w:szCs w:val="17"/>
        </w:rPr>
        <w:t xml:space="preserve">świadomie </w:t>
      </w:r>
      <w:r>
        <w:rPr>
          <w:color w:val="000000" w:themeColor="text1"/>
          <w:sz w:val="17"/>
          <w:szCs w:val="17"/>
        </w:rPr>
        <w:t>wykorzystując metody i narzędzia wywodzące się z informatyki,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posługuje się nowoczesnymi technologiami informacyjno-komunikacyjnymi,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samodzielnie dociera do informacji, dokonuje ich selekcji, syntezy i wartościowania; rzetelnie korzysta z różnych źródeł informacji, w tym z internetu,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uczy się systematycznie, buduje prawidłowe związki przyczynowo-skutkowe, porządkuje i pogłębia zdobytą wiedzę,</w:t>
      </w:r>
    </w:p>
    <w:p>
      <w:pPr>
        <w:pStyle w:val="ListParagraph"/>
        <w:numPr>
          <w:ilvl w:val="1"/>
          <w:numId w:val="39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12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współpracuje w grupie i realizuje projekty edukacyjne z dziedziny fizyki lub astronomii.</w:t>
      </w:r>
    </w:p>
    <w:p>
      <w:pPr>
        <w:pStyle w:val="Nagwek1"/>
        <w:overflowPunct w:val="false"/>
        <w:spacing w:lineRule="auto" w:line="360"/>
        <w:ind w:left="454" w:right="567" w:hanging="0"/>
        <w:jc w:val="left"/>
        <w:rPr>
          <w:rFonts w:ascii="Arial" w:hAnsi="Arial" w:cs="Arial"/>
          <w:b w:val="false"/>
          <w:b w:val="false"/>
          <w:color w:val="000000" w:themeColor="text1"/>
        </w:rPr>
      </w:pPr>
      <w:r>
        <w:pict>
          <v:shape id="shape_0" coordsize="266,266" path="m0,0l0,265l265,265l265,0l0,0e" fillcolor="#93c73c" stroked="f" o:allowincell="f" style="position:absolute;margin-left:82.05pt;margin-top:5.65pt;width:7.45pt;height:7.45pt;mso-wrap-style:none;v-text-anchor:middle;mso-position-horizontal-relative:page">
            <v:fill o:detectmouseclick="t" type="solid" color2="#6c38c3"/>
            <v:stroke color="#3465a4" joinstyle="round" endcap="flat"/>
            <w10:wrap type="none"/>
          </v:shape>
        </w:pict>
      </w:r>
      <w:r>
        <w:rPr>
          <w:rFonts w:cs="Arial" w:ascii="Arial" w:hAnsi="Arial"/>
          <w:color w:val="000000" w:themeColor="text1"/>
        </w:rPr>
        <w:t>Szczegółowe wymagania na poszczególne stopnie</w:t>
      </w:r>
    </w:p>
    <w:p>
      <w:pPr>
        <w:pStyle w:val="Tretekstu"/>
        <w:overflowPunct w:val="false"/>
        <w:spacing w:lineRule="auto" w:line="276"/>
        <w:ind w:right="567" w:hanging="0"/>
        <w:rPr>
          <w:rFonts w:ascii="Book Antiqua" w:hAnsi="Book Antiqua"/>
          <w:color w:val="000000" w:themeColor="text1"/>
          <w:sz w:val="17"/>
          <w:szCs w:val="17"/>
        </w:rPr>
      </w:pPr>
      <w:r>
        <w:rPr>
          <w:rFonts w:ascii="Book Antiqua" w:hAnsi="Book Antiqua"/>
          <w:color w:val="000000" w:themeColor="text1"/>
          <w:sz w:val="17"/>
          <w:szCs w:val="17"/>
        </w:rPr>
        <w:t xml:space="preserve">(wymagania na kolejne stopnie się </w:t>
      </w:r>
      <w:r>
        <w:rPr>
          <w:rFonts w:cs="Bookman Old Style" w:ascii="Book Antiqua" w:hAnsi="Book Antiqua"/>
          <w:b/>
          <w:color w:val="000000" w:themeColor="text1"/>
          <w:sz w:val="17"/>
          <w:szCs w:val="17"/>
        </w:rPr>
        <w:t xml:space="preserve">kumulują </w:t>
      </w:r>
      <w:r>
        <w:rPr>
          <w:rFonts w:ascii="Book Antiqua" w:hAnsi="Book Antiqua"/>
          <w:color w:val="000000" w:themeColor="text1"/>
          <w:sz w:val="17"/>
          <w:szCs w:val="17"/>
        </w:rPr>
        <w:t>- obejmują również wymagania na stopnie niższe)</w:t>
      </w:r>
    </w:p>
    <w:p>
      <w:pPr>
        <w:pStyle w:val="Tretekstu"/>
        <w:overflowPunct w:val="false"/>
        <w:ind w:right="567" w:hanging="0"/>
        <w:rPr>
          <w:color w:val="000000" w:themeColor="text1"/>
        </w:rPr>
      </w:pPr>
      <w:r>
        <w:rPr>
          <w:color w:val="000000" w:themeColor="text1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1" w:lastColumn="0" w:noHBand="0" w:val="00a0"/>
      </w:tblPr>
      <w:tblGrid>
        <w:gridCol w:w="3395"/>
        <w:gridCol w:w="4398"/>
        <w:gridCol w:w="3401"/>
        <w:gridCol w:w="2795"/>
        <w:gridCol w:w="13"/>
      </w:tblGrid>
      <w:tr>
        <w:trPr>
          <w:tblHeader w:val="true"/>
          <w:trHeight w:val="20" w:hRule="atLeast"/>
        </w:trPr>
        <w:tc>
          <w:tcPr>
            <w:tcW w:w="3395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pageBreakBefore/>
              <w:widowControl w:val="false"/>
              <w:spacing w:lineRule="auto" w:line="276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Stopień dopuszczający(1)</w:t>
            </w:r>
          </w:p>
        </w:tc>
        <w:tc>
          <w:tcPr>
            <w:tcW w:w="4398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color w:val="000000" w:themeColor="text1"/>
                <w:sz w:val="15"/>
                <w:szCs w:val="15"/>
              </w:rPr>
              <w:t>Stopień dostateczny(1+2)</w:t>
            </w:r>
          </w:p>
        </w:tc>
        <w:tc>
          <w:tcPr>
            <w:tcW w:w="3401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color w:val="000000" w:themeColor="text1"/>
                <w:sz w:val="15"/>
                <w:szCs w:val="15"/>
              </w:rPr>
              <w:t>Stopień dobry(1+2+3)</w:t>
            </w:r>
          </w:p>
        </w:tc>
        <w:tc>
          <w:tcPr>
            <w:tcW w:w="2795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color w:val="000000" w:themeColor="text1"/>
                <w:sz w:val="15"/>
                <w:szCs w:val="15"/>
              </w:rPr>
              <w:t>Stopień bardzo dobry(1+2+3+4)</w:t>
            </w:r>
          </w:p>
        </w:tc>
        <w:tc>
          <w:tcPr>
            <w:tcW w:w="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4002" w:type="dxa"/>
            <w:gridSpan w:val="5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</w:tr>
      <w:tr>
        <w:trPr/>
        <w:tc>
          <w:tcPr>
            <w:tcW w:w="3395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zmianę pola elektrycznego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magnetycznego jako źródło fali elektromagnetycznej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rodzaje fale elektromagnetycznych; wskazuje przykłady ich zastosowania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białe jako mieszaninę barw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superpozycji fal, podaje warunki wzmocnienia oraz wygaszenia się fal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zjawisko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załamanie światła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 przejściu do innego ośrodka, wskazuje kierunek załamania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i ilustruje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na schematycznym rysunku częściowe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całkowite wewnętrzne odbicie światła; posługuje się pojęciem kąta granicznego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białe jako mieszaninę barw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ilustruje to rozszczepieniem światła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pryzmacie; wymienia inne przykłady 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soczewki skupiające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rozpraszające, stosuje ich schematyczne oznaczenia, opisuje bieg wiązki światła przez te soczewki; posługuje się pojęciami ogniska, ogniskowej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mechanizm tworzenia obrazu rzeczywistego przez soczewkę skupiającą oraz podaje reguły jego konstruowania; rysuje konstrukcyjnie obrazy wytworzone 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rolę soczewek w korygowaniu wad wzroku: krótkowzroczności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dalekowzroczności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obrazy rzeczywiste, pozorne, proste, odwrócone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zasadę działania lupy; wskazuje zastosowanie lupy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>,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astronomicznej,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Galileusza,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mikroskopu optycznego,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teleskopu zwierciadlanego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falę elektromagnetyczną poprzeczną; rozróżnia światło spolaryzowane i niespolaryzowane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 działanie filtrów polaryzacyjnych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proste zadania lub problemy dotyczące: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kątem dyfrakcji, stałą siatki i długością fali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obrazu rzeczywistego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soczewkę skupiającą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obrazów pozornych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soczewki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lupy</w:t>
            </w:r>
          </w:p>
          <w:p>
            <w:pPr>
              <w:pStyle w:val="ListParagraph"/>
              <w:widowControl w:val="false"/>
              <w:numPr>
                <w:ilvl w:val="1"/>
                <w:numId w:val="38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wyodrębnia z tekstów i ilustracji informacje kluczowe dla opisywanego zjawiska bądź problemu, przedstawia je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różnych postaciach, przelicza wielokrotności i podwielokrotności, przeprowadza obliczenia i zapisuje wynik zgodnie z zasadami zaokrąglania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4398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współzależność zmian pola magnetycznego i elektrycznego oraz rozchodzenie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zależność między długością, prędkością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częstotliwością fali dla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natężenia fali elektromagnetycznej wraz z jej jednostką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fal elektromagnetycznych oraz wymienia źródła i własności fal z poszczególnych zakresów widma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schemat nadawania, rozchodzenia się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odbierania fal radiowych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zastosowania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 elektromagnetycznych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poszczególnych zakresów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zjawisko dyfrakcji fal elektro-magnetycznych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na przykładzie światła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doświadczenie Younga oraz jego wyniki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zależność przestrzennego obrazu interferencji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 długości fali i odległości między źródłami; stosuje wzory opisujące wzmocnienie i wygaszenie fali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obliczeń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obraz powstający po przejściu światła przez siatkę dyfrakcyjną; stosuje związek między kątem dyfrakcji, stałą siatki i długością fali do obliczeń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jakościowo zjawisko interferencji wiązek światła odbitych od dwóch powierzchni cienkiej warstwy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obraz dyfrakcji promieniowania rentgenowskiego na kryształach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przykłady interferencji światła w przyrodzie: kolory na bańkach mydlanych, barwy strukturalne, wieniec wokół księżyca, iryzacja chmury, widmo Brockenu, gloria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prawo odbicia na granicy dwóch ośrodków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wyjaśniania zjawisk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wskazuje przykłady zjawisk optycznych w przyrodzie wynikających z rozpraszania światła: błękitny kolor nieba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czerwony kolor zachodzącego Słońca, zjawisko Tyndalla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ilościowo załamanie światła przy przejściu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innego ośrodka; stosuje prawo załamania fal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na granicy dwóch ośrodków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falę elektromagnetyczną poprzeczną; stosuje zasadę odwracalności biegu promienia światła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prawo Snelliusa do wyjaśniania zjawisk i/lub obliczeń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współczynnika załamania światła (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) w danym ośrodku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miraże (dolny i górny) jako przykłady zjawisk optycznych w przyrodzie wynikających z 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prawo odbicia i prawo załamania fal na granicy dwóch ośrodków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opisu 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oblicza kąt graniczny z prawa Snelliusa,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FF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interpretuje jego związek z współczynnikiem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działanie światłowodu jako przykład wykorzystania zjawiska całkowitego wewnętrznego odbicia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zjawisko rozszczepienia światła przy jego załamaniu; opisuje bieg światła przez pryzmat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powstawanie tęczy i halo jako przykładu zjawisk optycznych w przyrodzie wynikających z 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prawo odbicia i prawo załamania fal na granicy dwóch ośrodków do opisu rozszczepienia światła przez kroplę wody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zdolności skupiającej wraz z jej jednostką, stosuje to pojęcie do obliczeń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zależność ogniskowej soczewki od jej krzywizny oraz współczynnika załamania; stosuje przybliżenie cienkiej soczewki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do obliczeń równanie soczewki przy obrazach rzeczywistych i pozornych; opisuje sposób pomiaru przybliżonej ogniskowej soczewki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konstrukcję obrazów pozornych tworzonych przez soczewki oraz rysuje konstrukcyjnie te obrazy; określa cechy obrazu tworzonego przez soczewkę skupiającą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zależności od odległości przedmiotu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 soczewki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zjawisko polaryzacji światła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 przejściu przez polaryzator i podczas odbicia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i opisuje zastosowania polaryzatorów</w:t>
            </w:r>
          </w:p>
          <w:p>
            <w:pPr>
              <w:pStyle w:val="ListParagraph"/>
              <w:widowControl w:val="false"/>
              <w:numPr>
                <w:ilvl w:val="0"/>
                <w:numId w:val="3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przeprowadza doświadczenia na podstawie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ich opisów: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obserwuje wytwarzanie fali elektromagnetycznej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obserwuje dyfrakcję światła na krawędzi przeszkody, </w:t>
            </w: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obserwuje zjawisko interferencji fal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obserwuje obraz interferencyjny uzyskany</w:t>
            </w:r>
          </w:p>
          <w:p>
            <w:pPr>
              <w:pStyle w:val="Normal"/>
              <w:widowControl w:val="false"/>
              <w:ind w:left="737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 pomocą siatki dyfrakcyjnej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demonstruje rozpraszanie światła w ośrodku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wyznacza współczynnik załamania światła w danej substancji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wyznacza wartość współczynnika załamania światła z pomiaru kąta granicznego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demonstruje rozszczepienie światła w pryzmacie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połączenie barw w światło białe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bada związek między ogniskową soczewki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a położeniami przedmiotu i obrazu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bada obrazy pozorne tworzone przez soczewki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buduje i bada lunety: astronomiczną, Galileusza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teleskop zwierciadlany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obserwuje zmiany natężenia światła po przejściu przez dwa polaryzatory ustawione równolegle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i prostopadle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oraz polaryzację światła podczas jego odbicia; opisuje wyniki obserwacji, analizuje wyniki pomiarów, wyciąga wnioski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typowe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kątem dyfrakcji, stałą siatki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długością fali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 i tworzenia obrazów przez soczewki</w:t>
            </w:r>
          </w:p>
          <w:p>
            <w:pPr>
              <w:pStyle w:val="Normal"/>
              <w:widowControl w:val="false"/>
              <w:ind w:left="709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wykorzystania równania soczewki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światła,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posługuje się tablicami fizycznymi oraz kartą wybranych wzorów i stałych fizykochemicznych,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prowadzi obliczenia szacunkowe i poddaje wynik analizie, wykonuje obliczenia za pomocą kalkulatora, uzasadnia swoje odpowiedzi i/lub ilustruje je na schematycznych rysunkach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 z analizy przedstawionych materiałów źródłowych dotyczących zwłaszcza: fal elektromagnetycznych, wykorzystania światłowodów, powstawania tęczy i halo, przyrządów optycznych, zastosowania polaryzatorów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analizuje tekst: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O tym, do czego służą „odblaski”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inny; wyodrębnia informacje kluczowe, posługuje się nimi i wykorzystuje do rozwiązania prostych zadań lub problemów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dokonuje syntezy wiedzy z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01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wielkościami związanymi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mocą światła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praktyczne znaczenie zjawiska dyfrakcji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wzory opisujące wzmocnienie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wygaszenie fali do wyjaśniania zjawisk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związek między kątem dyfrakcji, stałą siatki i długością fali do wyjaśniania zjawisk oraz udowadnia ten związek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zjawisko interferencji wiązek światła odbitych od dwóch powierzchni cienkiej warstwy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przykłady interferencji światła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przyrodzie: kolory na bańkach mydlanych, barwy strukturalne, wieniec wokół księżyca, iryzacja chmury, widmo Brockenu, gloria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przykłady zjawisk optycznych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przyrodzie wynikających z rozpraszania światła: błękitny kolor nieba i czerwony kolor zachodzącego Słońca, zjawisko Tyndalla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udowadnia, że prawo Snelliusa można zapisać: </w:t>
            </w:r>
            <w:r>
              <w:rPr/>
              <w:drawing>
                <wp:inline distT="0" distB="0" distL="0" distR="0">
                  <wp:extent cx="399415" cy="257175"/>
                  <wp:effectExtent l="0" t="0" r="0" b="0"/>
                  <wp:docPr id="4" name="Picture 340249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40249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powstawanie miraży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mechanizm powstawania okna Snelliusa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wykazuje, że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bscript"/>
              </w:rPr>
              <w:t>fiol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&gt;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bscript"/>
              </w:rPr>
              <w:t>czerw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mechanizm powstawania tęczy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ilościowo i interpretuje zależność ogniskowej soczewki od jej krzywizny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współczynnika załamania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soczewki sferyczne i asferyczne; wyjaśnia, na czym polegają aberracje sferyczna i chromatyczna, wskazuje sposoby korygowania tych wad soczewek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wyprowadza i interpretuje równanie soczewki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zasady działania przyrządów optycznych: lunety astronomicznej, lunety Galileusza, mikroskopu optycznego, teleskopu zwierciadlanego; rysuje konstrukcyjnie obrazy tworzone przez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te przyrządy; posługuje się pojęciem powiększenia kątowego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zdolność rozdzielczą przyrządów optycznych w kontekście zjawiska dyfrakcji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zjawisko polaryzacji światła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 przejściu przez polaryzator i podczas jego odbicia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zmianę natężenia światła podczas przejścia przez polaryzator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wyniki przeprowadzonych obserwacji, opracowuje wyniki wykonanych pomiarów oraz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FF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planuje i modyfikuje przebieg doświadczeń (formułuje hipotezy   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prezentuje kroki niezbędne do ich weryfikacji)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złożone (typowe) zadania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interferencji światła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obrazu rzeczywistego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obrazów pozornych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soczewki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wykorzystania równania soczewki</w:t>
            </w:r>
          </w:p>
          <w:p>
            <w:pPr>
              <w:pStyle w:val="Normal"/>
              <w:widowControl w:val="false"/>
              <w:ind w:left="737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i/lub równania zwierciadła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oraz: ilustruje lub uzasadnia swoje odpowiedzi i rozwiązania, ustala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i/lub uzasadnia podane stwierdzenia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wyszukuje i analizuje materiały źródłowe,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 teksty popularnonaukowe dotyczące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Fale elektromagnetyczne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i optyka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, zwłaszcza dotyczące: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własności i zastosowań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wykorzystania światłowodów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tęczy i halo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zastosowania polaryzatorów;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analizy tych materiałów i wykorzystuje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rozwiązania zadań i problemów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prezentuje wyniki własnych obserwacji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doświadczeń domowych</w:t>
            </w:r>
          </w:p>
        </w:tc>
        <w:tc>
          <w:tcPr>
            <w:tcW w:w="2808" w:type="dxa"/>
            <w:gridSpan w:val="2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wykazuje, że pas tęczy widzimy pod kątem 42°, a tęcza jest kolorowa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wyprowadza równanie soczewki przy obrazach pozornych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nietypowe, złożone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interferencji światła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obrazu rzeczywistego 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obrazów pozornych przez soczewki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wykorzystania równania soczewki i/lub równania zwierciadła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color w:val="0000FF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uzasadnia swoje rozwiązania i/lub podane stwierdzenia, wykazuje lub udowadnia podane związki oraz zależności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projektuje i przeprowadza obserwacje oraz doświadczenia, formułuje i weryfikuje hipotezy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planuje, realizuje i prezentuje własny projekt związany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treściami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</w:p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</w:r>
          </w:p>
        </w:tc>
      </w:tr>
      <w:tr>
        <w:trPr/>
        <w:tc>
          <w:tcPr>
            <w:tcW w:w="14002" w:type="dxa"/>
            <w:gridSpan w:val="5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17. Fizyka atomowa i kwanty promieniowania elektromagnetycznego</w:t>
            </w:r>
          </w:p>
        </w:tc>
      </w:tr>
      <w:tr>
        <w:trPr/>
        <w:tc>
          <w:tcPr>
            <w:tcW w:w="3395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promieniowania termicznego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przyczyny oraz skutki globalnego ocieplenia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smog i efekt cieplarniany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objaśnia, na czym polega zjawisko fotoelektryczne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strumień fotonów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pędu fotonu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przykłady zjawisk ujawniających falowe albo cząsteczkowe własności światła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doświadczenia ujawniające falową naturę materii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widma ciągłe i nieciągłe – dyskretne; wskazuje przykłady zastosowania analizy widm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widma emisyjne i absorpcyjne gazów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stan podstawowy i stany wzbudzone atomu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zastosowania laserów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promieniowanie rentgenowskie jako fale elektromagnetyczne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zastosowania promieniowania rentgenowskiego: zdjęcia rentgenowskie, tomografia komputerowa, obserwacje astronomiczne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proste zadania lub problemy dotyczące: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termicznego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zjawiska fotoelektrycznego pędu fotonu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 emisyjnych i absorpcyjnych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modelu Bohra</w:t>
            </w:r>
          </w:p>
          <w:p>
            <w:pPr>
              <w:pStyle w:val="ListParagraph"/>
              <w:widowControl w:val="false"/>
              <w:numPr>
                <w:ilvl w:val="1"/>
                <w:numId w:val="3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rentgenowskiego i jego widma,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wyodrębnia z tekstów i ilustracji informacje kluczowe dla opisywanego zjawiska bądź problemu, przedstawia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je w różnych postaciach, przelicza wielokrotności i podwielokrotności, przeprowadza obliczenia i zapisuje wynik zgodnie z zasadami zaokrąglania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4398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na wybranych przykładach promieniowanie termiczne ciał i jego zależność od temperatury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 promieniowanie termiczne Słońca i tradycyjnej żarówki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założenie Plancka dotyczące promieniowania termicznego jako kluczowe dla stworzenia mechaniki kwantowej; posługuje się pojęciem kwantu energii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na czym polega i jak powstaje efekt cieplarniany w atmosferze, odwołując się do działania szklarni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przykłady sprzężenia zwrotnego efektu cieplarnianego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sposoby przeciwdziałania globalnemu ociepleniu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 smog i efekt cieplarniany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zjawiska fotoelektryczne, fotochemiczne i jonizacji jako wywołane tylko przez promieniowanie o częstotliwości większej od granicznej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stosuje pojęcie fotonu oraz jego energii oraz zależność między energią fotonu a częstotliwością i długością fali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wyjaśniania zjawisk i obliczeń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bilans energetyczny zjawiska fotoelektrycznego oraz stosuje go do wyjaśniania tego zjawiska; posługuje się pojęciem pracy wyjścia wraz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jej jednostką – elektronowoltem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zależność między pędem fotonu a jego częstotliwością i energią do wyjaśniania zjawisk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obliczeń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odrzut atomu emitującego kwant światła, stosuje zasadę zachowania energii i zasadę zachowania pędu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opisu emisji i absorpcji fotonu przez swobodne atomy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mikroskopowy opis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dualizm korpuskularno-falowy światła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doświadczenia ujawniające falową naturę materii; opisuje zjawiska dyfrakcji oraz interferencji elektronów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innych cząstek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 hipotezę de Broglie’a o falowych własnościach materii; oblicza długość fali de Broglie’a poruszających się cząstek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pochodzenie widm emisyjnych i absorpcyjnych gazów; interpretuje linie widmowe jako skutek przejść elektronów między poziomami energetycznymi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atomach połączonych z emisją lub absorpcją kwantu światła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seryjny układ linii widmowych na przykładzie widm atomowych wodoru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model Bohra atomu wodoru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schematycznie przedstawia poziomy energetyczne atomu wodoru i przejścia między tymi poziomami połączone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emisją lub absorpcją kwantu; posługuje się pojęciem energii jonizacji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powstawanie promieniowania rentgenowskiego jako promieniowania hamowania; oblicza krótkofalową granicę widma promieniowania rentgenowskiego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omawia wytwarzanie promieniowania rentgenowskiego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lampie rentgenowskiej; analizuje widmo tego promieniowania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przeprowadza doświadczenia na podstawie ich opisów: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61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bada promieniowanie termiczne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61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bada rolę diody LED jako fotodiody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61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obserwuje widma atomowe za pomocą siatki dyfrakcyjnej;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wyniki obserwacji, formułuje wnioski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typowe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termicznego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zjawiska fotoelektrycznego i fotokomórki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pędu fotonu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 emisyjnych i absorpcyjnych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modelu Bohra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rentgenowskiego i jego widma,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posługuje się tablicami fizycznymi oraz kartą wybranych wzorów i stałych fizykochemicznych, prowadzi obliczenia szacunkowe i poddaje analizie otrzymany wynik, wykonuje obliczenia, posługując się kalkulatorem, ilustruje i/lub uzasadnia swoje odpowiedzi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 z analizy przedstawionych materiałów źródłowych, w tym tekstów popularnonaukowych dotyczących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atomowa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, w tym: efektu cieplarnianego, falowej natury materii, widm, promieniowania rentgenowskiego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dokonuje syntezy wiedzy z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atomowa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01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do czego służy model ciała doskonale czarnego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podaje zależność wyrażającą prawo Wiena oraz stosuje ją do wyjaśniania zjawisk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obliczeń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do obliczeń bilans energetyczny zjawiska fotoelektrycznego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na czym polega zjawisko Comptona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dlaczego zjawisk związanych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z odrzutem atomów nie obserwujemy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życiu codziennym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 założenia mechaniki kwantowej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budowę i zasadę działania mikroskopu elektronowego; uzasadnia ograniczoną zdolność rozdzielczą mikroskopu optycznego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przykłady zastosowania analizy widm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interpretuje układ linii widmowych atomu wodoru; stosuje do obliczeń wzór Rydberga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wymuszoną emisję promieniowania oraz powstawanie światła laserowego; omawia zastosowania laserów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uzasadnia założenia modelu Bohra atomu wodoru odnoszące się do falowej natury materii, wskazuje ograniczenia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wytwarzanie promieniowania rentgenowskiego w laserze na swobodnych elektronach oraz zastosowania tego lasera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na przykładach zastosowania promieniowania rentgenowskiego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wyjaśnia wyniki przeprowadzonych obserwacji oraz planuje i modyfikuje przebieg doświadczeń (formułuje hipotezy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prezentuje kroki niezbędne do ich weryfikacji)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złożone (typowe) zadania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termicznego i prawa Wiena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zjawiska fotoelektrycznego pędu fotonu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 emisyjnych i absorpcyjnych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modelu Bohra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723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rentgenowskiego i jego widma</w:t>
            </w:r>
          </w:p>
          <w:p>
            <w:pPr>
              <w:pStyle w:val="Normal"/>
              <w:widowControl w:val="false"/>
              <w:ind w:left="363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oraz: uzasadnia swoje rozwiązania</w:t>
            </w:r>
          </w:p>
          <w:p>
            <w:pPr>
              <w:pStyle w:val="Normal"/>
              <w:widowControl w:val="false"/>
              <w:ind w:left="363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podane stwierdzenia lub zależności, ilustruje je graficznie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wyszukuje i analizuje materiały źródłowe,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 teksty popularnonaukowe, dotyczące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atomowa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,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 w szczególności dotyczące: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ind w:left="70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ind w:left="70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ind w:left="70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ind w:left="70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rentgenowskiego;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analizy tych materiałów i wykorzystuje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rozwiązania zadań i problemów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realizuje i prezentuje opisany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 podręczniku projekt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Spektroskop</w:t>
            </w:r>
          </w:p>
        </w:tc>
        <w:tc>
          <w:tcPr>
            <w:tcW w:w="2808" w:type="dxa"/>
            <w:gridSpan w:val="2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wyznacza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-ty promień orbity elektronowej w atomie wodoru oraz energię elektronu na tej orbicie;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wyprowadza wzór Rydberga z modelu Bohra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nietypowe, złożone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promieniowania termicznego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prawa Wiena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zjawiska fotoelektrycznego pędu fotonu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 emisyjnych</w:t>
            </w:r>
          </w:p>
          <w:p>
            <w:pPr>
              <w:pStyle w:val="Normal"/>
              <w:widowControl w:val="false"/>
              <w:ind w:left="624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absorpcyjnych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modelu Bohra</w:t>
            </w:r>
          </w:p>
          <w:p>
            <w:pPr>
              <w:pStyle w:val="ListParagraph"/>
              <w:widowControl w:val="false"/>
              <w:numPr>
                <w:ilvl w:val="0"/>
                <w:numId w:val="3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rentgenowskiego i jego widma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oraz wykazuje lub udowadnia podane zależności, ilustruje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je graficznie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planuje, realizuje i prezentuje własny projekt związany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treściami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atomowa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formułuje i weryfikuje hipotezy</w:t>
            </w:r>
          </w:p>
        </w:tc>
      </w:tr>
      <w:tr>
        <w:trPr/>
        <w:tc>
          <w:tcPr>
            <w:tcW w:w="14002" w:type="dxa"/>
            <w:gridSpan w:val="5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18. Fizyka jądrowa</w:t>
            </w:r>
          </w:p>
        </w:tc>
      </w:tr>
      <w:tr>
        <w:trPr/>
        <w:tc>
          <w:tcPr>
            <w:tcW w:w="3395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do opisu składu materii pojęciami: pierwiastek, jądro atomowe, nukleon, proton, neutron, elektron, izotop, cząstka elementarna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pojęciami: masa atomowa wraz jej jednostką, liczba masowa i liczba atomowa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różnice między reakcjami chemicznymi a jądrowymi; posługuje się pojęciem jądra stabilnego i niestabilnego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przykłady rozpadów alfa, beta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właściwości 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promieniowanie jonizujące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niejonizujące; wskazuje wpływ promieniowania jonizującego na materię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na organizmy żywe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przykłady zastosowania zjawiska promieniotwórczości w technice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medycynie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związek między zmianą energii ciała i zmianą jego masy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korzyści i niebezpieczeństwa płynące z energetyki jądrowej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łączenie się jąder pierwiastków lekkich jako reakcję syntezy termojądrowej; rozróżnia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syntezę termojądrową i reakcję rozszczepienia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galaktyki, rozróżnia galaktyki i gwiazdozbiory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podaje przybliżony wiek Wszechświata</w:t>
            </w:r>
          </w:p>
          <w:p>
            <w:pPr>
              <w:pStyle w:val="ListParagraph"/>
              <w:widowControl w:val="false"/>
              <w:numPr>
                <w:ilvl w:val="0"/>
                <w:numId w:val="30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proste zadania lub problemy dotyczące: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składu jądra atomowego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29"/>
              </w:numPr>
              <w:ind w:left="567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jądrowego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rozpadu promieniotwórczego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jądrowej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syntezy termojądrowej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ewolucji Słońca i innych gwiazd</w:t>
            </w:r>
          </w:p>
          <w:p>
            <w:pPr>
              <w:pStyle w:val="ListParagraph"/>
              <w:widowControl w:val="false"/>
              <w:numPr>
                <w:ilvl w:val="1"/>
                <w:numId w:val="30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rozszerzania się Wszechświata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ucieczki galaktyk,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wyodrębnia z tekstów i ilustracji informacje kluczowe dla opisywanego zjawiska bądź problemu, przedstawia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je w różnych postaciach, przelicza wielokrotności i podwielokrotności, przeprowadza obliczenia i zapisuje wynik zgodnie z zasadami zaokrąglania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4398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skład jądra atomowego na podstawie liczb masowej i atomowej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pojęciami: antycząstka, antymateria, antyelektron (pozyton)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kreację lub anihilację par cząstka-antycząstka; oblicza energię powstałą w wyniku anihilacji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oddziaływania jądrowe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wybrane informacje z historii odkrycia jądra atomowego, a w szczególności omawia doświadczenie Rutherforda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rozpady alfa, beta plus i beta minus (β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+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i β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−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) oraz zapisuje przykłady takich przemian jądrowych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zapisuje reakcje jądrowe z zastosowaniem zasady zachowania liczby nukleonów i zasady zachowania ładunku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powstawanie promieniowania gamma; opisuje właściwości 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doświadczalnie bada promieniowanie różnych substancji; przedstawia wyniki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omawia wpływ promieniowania jonizującego na materię oraz na organizmy żywe; wyjaśnia, dlaczego promieniowanie w dużych dawkach jest niebezpieczne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dla zdrowia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przykłady zastosowania zjawiska promieniotwórczości w technice i medycynie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przypadkowy charakter rozpadu jąder atomowych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rozpad izotopu promieniotwórczego; posługuje się pojęciem czasu połowicznego rozpadu; analizuje</w:t>
            </w:r>
          </w:p>
          <w:p>
            <w:pPr>
              <w:pStyle w:val="Normal"/>
              <w:widowControl w:val="false"/>
              <w:ind w:left="363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szkicuje wykres zależności liczby jąder materiału promieniotwórczego od czasu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zasadę datowania substancji za pomocą węgla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14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ilościowo związek między zmianą energii ciała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zmianą jego masy; stosuje do obliczeń wzór D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E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= D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mc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2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wykazuje, że jednostkę współczynnika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c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 xml:space="preserve">2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można zapisać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 postaci </w:t>
            </w:r>
            <w:r>
              <w:rPr/>
              <w:drawing>
                <wp:inline distT="0" distB="0" distL="0" distR="0">
                  <wp:extent cx="130810" cy="238125"/>
                  <wp:effectExtent l="0" t="0" r="0" b="0"/>
                  <wp:docPr id="5" name="Picture 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interpretuje wartość tego współczynnika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pojęciem energii spoczynkowej; opisuje równoważność masy i energii spoczynkowej; stosuje wzór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E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=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mc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2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do obliczeń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pojęciami deficytu masy i energii wiązania; stosuje zasadę zachowania energii do opisu 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oblicza dla dowolnego izotopu energię spoczynkową, deficyt masy i energię wiązania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reakcję rozszczepienia jądra uranu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235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U zachodzącą w wyniku pochłonięcia neutronu; podaje warunki zajścia reakcji łańcuchowej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zasadę działania elektrowni jądrowej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 syntezę termojądrową z reakcją rozszczepienia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dlaczego Słońce i inne gwiazdy świecą; opisuje reakcję termojądrową przemiany wodoru w hel zachodzącą w gwiazdach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elementy ewolucji Słońca i innych gwiazd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białe i czarne karły, czerwone olbrzymy, supernowe, gwiazdy neutronowe oraz czarne dziury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miejsce Układu Słonecznego w Galaktyce; posługuje się pojęciami roku świetlnego i parseka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Wielki Wybuch jako początek znanego nam Wszechświata; oblicza przybliżony wiek Wszechświata, opisuje rozszerzanie się Wszechświata zwane ucieczką galaktyk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zależność między odległością do galaktyki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 prędkością jej oddalania się; stosuje do obliczeń prawo Hubble’a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typowe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składu jądra atomowego oraz anihilacji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pary</w:t>
            </w:r>
          </w:p>
          <w:p>
            <w:pPr>
              <w:pStyle w:val="Normal"/>
              <w:widowControl w:val="false"/>
              <w:ind w:left="59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cząstka–antycząstka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rozpadu promieniotwórczego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jądrowej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syntezy termojądrowej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ewolucji Słońca i innych gwiazd</w:t>
            </w:r>
          </w:p>
          <w:p>
            <w:pPr>
              <w:pStyle w:val="ListParagraph"/>
              <w:widowControl w:val="false"/>
              <w:numPr>
                <w:ilvl w:val="0"/>
                <w:numId w:val="2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rozszerzania się Wszechświata i ucieczki galaktyk,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posługuje się tablicami fizycznymi lub chemicznymi oraz kartą wybranych wzorów i stałych fizykochemicznych, prowadzi obliczenia szacunkowe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poddaje analizie otrzymany wynik, przeprowadza obliczenia liczbowe za pomocą kalkulatora, ilustruje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i/lub uzasadnia swoje odpowiedzi, zapisuje równania 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2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 z analizy przedstawionych materiałów źródłowych dotyczących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jądrowa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, zwłaszcza: zastosowania zjawiska promieniotwórczości w technice i medycynie, datowania substancji za pomocą węgla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14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C, energetyki jądrowej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różnych rodzajów elektrowni, ewolucji gwiazd</w:t>
            </w:r>
          </w:p>
          <w:p>
            <w:pPr>
              <w:pStyle w:val="ListParagraph"/>
              <w:widowControl w:val="false"/>
              <w:numPr>
                <w:ilvl w:val="0"/>
                <w:numId w:val="2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dokonuje syntezy wiedzy z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jądrowa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01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zasady zachowania energii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pędu oraz zasadę zachowania ładunku do analizy kreacji lub anihilacji pary elektron-pozyton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sposoby wykrywania promieniowania jądrowego oraz wyznaczania energii kwantów gamma; przedstawia stosowane obecnie</w:t>
            </w:r>
          </w:p>
          <w:p>
            <w:pPr>
              <w:pStyle w:val="Normal"/>
              <w:widowControl w:val="false"/>
              <w:ind w:left="363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i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dawniej</w:t>
            </w:r>
            <w:bookmarkStart w:id="0" w:name="_GoBack"/>
            <w:bookmarkEnd w:id="0"/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wielkości i jednostki miar opisujące promieniowanie jądrowe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przykłady zastosowania zjawiska promieniotwórczości w technice i medycynie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że fizyka klasyczna jest deterministyczna, a fizyka współczesna – indeterministyczna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stosuje prawo rozpadu promieniotwórczego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rozwiązywania zadań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zastosowania czasu połowicznego rozpadu, gdy znamy jego wartość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problemy związane z budową elektrowni termojądrowych i plany przezwyciężenia tych problemów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omawia cykl życia gwiazdy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zależności od jej masy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supernowe i czarne dziury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omawia powstawanie pierwiastków</w:t>
            </w:r>
          </w:p>
          <w:p>
            <w:pPr>
              <w:pStyle w:val="Normal"/>
              <w:widowControl w:val="false"/>
              <w:ind w:left="363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 Wszechświecie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obserwacje świadczące zarówno o słuszności teorii Wielkiego Wybuchu, jak i rozszerzaniu się Wszechświata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do obliczeń wzory na częstotliwość i długość fali wynikające z efektu Dopplera dla światła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złożone (typowe)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składu jądra atomowego oraz anihilacji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pary cząstka-antycząstka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rozpadu promieniotwórczego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masą a energią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jądrowej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ind w:left="68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syntezy termojądrowej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ind w:left="68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ewolucji Słońca i innych gwiazd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ind w:left="68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przesunięcia ku czerwieni i ucieczki galaktyk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oraz: ilustruje i/lub uzasadnia swoje rozwiązania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podane stwierdzenia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wyszukuje i analizuje materiały źródłowe, w tym teksty popularnonaukowe, dotyczące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jądrowa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, dotyczące: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zastosowania zjawiska promieniotwórczości w technice</w:t>
            </w:r>
          </w:p>
          <w:p>
            <w:pPr>
              <w:pStyle w:val="Normal"/>
              <w:widowControl w:val="false"/>
              <w:ind w:left="68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medycynie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zastosowania czasu połowicznego rozpadu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energetyki jądrowej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różnych rodzajów elektrowni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ewolucji gwiazd</w:t>
            </w:r>
          </w:p>
          <w:p>
            <w:pPr>
              <w:pStyle w:val="ListParagraph"/>
              <w:widowControl w:val="false"/>
              <w:numPr>
                <w:ilvl w:val="0"/>
                <w:numId w:val="2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rozszerzania się Wszechświata;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z analizy tych materiałów i wykorzystuje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je do rozwiązania zadań i problemów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analizuje tekst: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Jod ze Świerka dla pół miliona pacjentów...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inny, wyodrębnia informacje kluczowe, posługuje się nimi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wykorzystuje do rozwiązania zadań</w:t>
            </w:r>
          </w:p>
          <w:p>
            <w:pPr>
              <w:pStyle w:val="Normal"/>
              <w:widowControl w:val="false"/>
              <w:ind w:left="363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problemów</w:t>
            </w:r>
          </w:p>
        </w:tc>
        <w:tc>
          <w:tcPr>
            <w:tcW w:w="2808" w:type="dxa"/>
            <w:gridSpan w:val="2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nietypowe, złożone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składu jądra atomowego oraz anihilacji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pary cząstka-antycząstka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rozpadu promieniotwórczego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masą</w:t>
            </w:r>
          </w:p>
          <w:p>
            <w:pPr>
              <w:pStyle w:val="Normal"/>
              <w:widowControl w:val="false"/>
              <w:ind w:left="601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 energią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jądrowej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syntezy termojądrowej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ewolucji Słońca i innych gwiazd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przesunięcia ku czerwieni</w:t>
            </w:r>
          </w:p>
          <w:p>
            <w:pPr>
              <w:pStyle w:val="Normal"/>
              <w:widowControl w:val="false"/>
              <w:ind w:left="59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ucieczki galaktyk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wykazuje podane stwierdzenia</w:t>
            </w:r>
          </w:p>
          <w:p>
            <w:pPr>
              <w:pStyle w:val="ListParagraph"/>
              <w:widowControl w:val="false"/>
              <w:numPr>
                <w:ilvl w:val="0"/>
                <w:numId w:val="2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planuje, realizuje i prezentuje własny projekt związany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treściami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Fizyka jądrowa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formułuje i weryfikuje hipotezy</w:t>
            </w:r>
          </w:p>
        </w:tc>
      </w:tr>
      <w:tr>
        <w:trPr/>
        <w:tc>
          <w:tcPr>
            <w:tcW w:w="14002" w:type="dxa"/>
            <w:gridSpan w:val="5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19. Elementy fizyki relatywistycznej</w:t>
            </w:r>
          </w:p>
        </w:tc>
      </w:tr>
      <w:tr>
        <w:trPr/>
        <w:tc>
          <w:tcPr>
            <w:tcW w:w="3395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równoważności układów inercjalnych (zasadę względności Galileusza)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niezależność prędkości światła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próżni od prędkości źródła i prędkości obserwatora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prędkość światła w próżni jako maksymalną prędkość przekazu informacji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wskazuje, że równoczesność zdarzeń zależy od układu odniesienia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proste zadania lub problemy dotyczące:</w:t>
            </w:r>
          </w:p>
          <w:p>
            <w:pPr>
              <w:pStyle w:val="ListParagraph"/>
              <w:widowControl w:val="false"/>
              <w:numPr>
                <w:ilvl w:val="1"/>
                <w:numId w:val="2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czasoprzestrzeni</w:t>
            </w:r>
          </w:p>
          <w:p>
            <w:pPr>
              <w:pStyle w:val="ListParagraph"/>
              <w:widowControl w:val="false"/>
              <w:numPr>
                <w:ilvl w:val="1"/>
                <w:numId w:val="2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względności równoczesności</w:t>
            </w:r>
          </w:p>
          <w:p>
            <w:pPr>
              <w:pStyle w:val="ListParagraph"/>
              <w:widowControl w:val="false"/>
              <w:numPr>
                <w:ilvl w:val="1"/>
                <w:numId w:val="2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historii rozwoju teorii względności</w:t>
            </w:r>
          </w:p>
          <w:p>
            <w:pPr>
              <w:pStyle w:val="ListParagraph"/>
              <w:widowControl w:val="false"/>
              <w:numPr>
                <w:ilvl w:val="1"/>
                <w:numId w:val="24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masą a energią,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wyodrębnia z tekstów i ilustracji informacje kluczowe dla opisywanego zjawiska bądź problemu, przedstawia je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różnych postaciach, przelicza wielokrotności i podwielokrotności, przeprowadza obliczenia i zapisuje wynik zgodnie z zasadami zaokrąglania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4398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i stosuje transformacje Galileusza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pojęciami: czasoprzestrzeń, zdarzenie, trajektoria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trajektorie ciał spoczywających lub poruszających się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względności Einsteina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kiedy możemy stosować transformację Galileusza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względność równoczesności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na diagramie czasoprzestrzennym przykłady zdarzeń, których kolejność czasowa zależy od układu odniesienia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paradoks bliźniąt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wybrane informacje z historii rozwoju teorii względności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energii całkowitej jako sumy energii spoczynkowej i kinetycznej; rozróżnia energię newtonowską i relatywistyczną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związkiem między energią całkowitą, masą cząstki i jej prędkością; stosuje do obliczeń wzór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na energię całkowitą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prędkość światła w próżni jako maksymalną prędkość przekazu energii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analizuje zależność energii od prędkości według fizyki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newtonowskiej i relatywistycznej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typowe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czasoprzestrzeni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transformacji Lorentza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względności równoczesności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historii rozwoju teorii względności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masą a energią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całkowitej,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tym: posługuje się tablicami fizycznymi oraz kartą wybranych wzorów i stałych fizykochemicznych, prowadzi obliczenia szacunkowe i poddaje analizie otrzymany wynik, wykonuje obliczenia, posługując się kalkulatorem, uzasadnia swoje odpowiedzi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informacjami pochodzącymi z analizy przedstawionych materiałów źródłowych, w tym tekstów popularnonaukowych, dotyczących treści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dokonuje syntezy wiedzy z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01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transformacje Galileusza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czasoprzestrzeni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pojęcia: czasoprzestrzeń, zdarzenie, trajektoria w rozwiązywaniu zadań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rysuje trajektorie ciał spoczywających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poruszających się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dlaczego transformacji Galileusza nie można pogodzić z zasadą względności Einsteina; porównuje teorie Galileusza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Einsteina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geometrycznie i przedstawia graficznie transformację Lorentza, wykorzystuje ją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rozwiązywania zadań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wykazuje stałość prędkości światła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względność równoczesności zdarzeń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na podstawie diagramu czasoprzestrzennego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dlaczego istnienie zdarzeń,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których kolejność czasowa zależy od układu odniesienia, nie prowadzi do paradoksów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zjawiska: dylatację czasu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skrócenie Lorentza; ilustruje te zjawiska na diagramie czasoprzestrzennym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wyjaśnia, dlaczego dylatacja czasu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skrócenie Lorentza nie prowadzą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sprzeczności; wyjaśnia paradoks bliźniąt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obraz świata przy wielkich prędkościach oraz ideę ogólnej teorii względności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 wskazane teorie z historii rozwoju teorii względności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 energię spoczynkową z innymi formami energii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wyjaśnia, że zasada zachowania energii obowiązuje także w fizyce relatywistycznej oraz, że są różne umowy, co do znaczenia słowa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masa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zależność energii całkowitej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 prędkości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wyjaśnia, dlaczego przez zwiększanie energii kinetycznej ciała nie da się przekroczyć prędkości światła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porównuje) zależność energii od prędkości według fizyki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newtonowskiej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relatywistycznej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złożone (typowe) zadania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czasoprzestrzeni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transformacji Lorentza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względności równoczesności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dylatacji czasu i/lub skrócenia Lorentza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całkowitej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oraz: uzasadnia swoje rozwiązania, ilustruje je graficznie; analizuje i ocenia podane informacje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analizuje tekst: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Świat zdrowo zafalował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inny, wyodrębnia informacje kluczowe, posługuje się nimi i wykorzystuje do rozwiązania zadań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lub problemów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wyszukuje i analizuje materiały źródłowe,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 tym teksty popularnonaukowe, dotyczące treści tego działu; posługuje się informacjami pochodzącymi z analizy tych materiałów oraz wykorzystuje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rozwiązania zadań i problemów</w:t>
            </w:r>
          </w:p>
        </w:tc>
        <w:tc>
          <w:tcPr>
            <w:tcW w:w="2808" w:type="dxa"/>
            <w:gridSpan w:val="2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360" w:hanging="360"/>
              <w:rPr>
                <w:rFonts w:eastAsia="Book Antiqua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zapisuje za pomocą wzorów transformację Lorentza, wykorzystuje te wzory do rozwiązywania złożonych problemów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360" w:hanging="360"/>
              <w:rPr>
                <w:rFonts w:eastAsia="Book Antiqua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ruch plamki światła przesuwającej się po Księżycu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360" w:hanging="360"/>
              <w:rPr>
                <w:rFonts w:eastAsia="Book Antiqua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wykazuje na wybranym przykładzie, że poruszające ciało skraca się w kierunku ruchu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360" w:hanging="360"/>
              <w:rPr>
                <w:rFonts w:eastAsia="Book Antiqua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nietypowe, złożone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czasoprzestrzeni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transformacji Lorentza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względności równoczesności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perscript"/>
              </w:rPr>
              <w:t>R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dylatacji czasu i skrócenia Lorentza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całkowitej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oraz wykazuje lub udowadnia podane związki lub zależności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planuje, realizuje i prezentuje własny projekt związany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 treściami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; formułuje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 weryfikuje hipotezy</w:t>
            </w:r>
          </w:p>
        </w:tc>
      </w:tr>
    </w:tbl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agwek1"/>
        <w:overflowPunct w:val="false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</w:pPr>
      <w:r>
        <w:rPr>
          <w:rFonts w:ascii="Bookman Old Style" w:hAnsi="Bookman Old Style"/>
          <w:bCs/>
          <w:color w:val="000000" w:themeColor="text1"/>
          <w:sz w:val="21"/>
          <w:szCs w:val="21"/>
        </w:rPr>
      </w:r>
    </w:p>
    <w:p>
      <w:pPr>
        <w:sectPr>
          <w:headerReference w:type="default" r:id="rId6"/>
          <w:footerReference w:type="default" r:id="rId7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agwek1"/>
        <w:overflowPunct w:val="false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</w:pPr>
      <w:r>
        <w:rPr>
          <w:rFonts w:ascii="Bookman Old Style" w:hAnsi="Bookman Old Style"/>
          <w:bCs/>
          <w:color w:val="000000" w:themeColor="text1"/>
          <w:sz w:val="21"/>
          <w:szCs w:val="21"/>
        </w:rPr>
        <w:t>Sposoby sprawdzania osiągnięć edukacyjnych ucznia</w:t>
      </w:r>
    </w:p>
    <w:p>
      <w:pPr>
        <w:pStyle w:val="Tretekstu"/>
        <w:overflowPunct w:val="false"/>
        <w:spacing w:lineRule="auto" w:line="276" w:before="68" w:after="0"/>
        <w:rPr>
          <w:rFonts w:ascii="Bookman Old Style" w:hAnsi="Bookman Old Style"/>
          <w:color w:val="000000" w:themeColor="text1"/>
          <w:w w:val="105"/>
          <w:sz w:val="17"/>
          <w:szCs w:val="17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Osiągnięcia edukacyjne ucznia są sprawdzane:</w:t>
      </w:r>
    </w:p>
    <w:p>
      <w:pPr>
        <w:pStyle w:val="ListParagraph"/>
        <w:numPr>
          <w:ilvl w:val="0"/>
          <w:numId w:val="41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10"/>
          <w:sz w:val="17"/>
          <w:szCs w:val="17"/>
        </w:rPr>
      </w:pPr>
      <w:r>
        <w:rPr>
          <w:color w:val="000000" w:themeColor="text1"/>
          <w:w w:val="110"/>
          <w:sz w:val="17"/>
          <w:szCs w:val="17"/>
        </w:rPr>
        <w:t>ustnie (waga</w:t>
      </w:r>
      <w:r>
        <w:rPr>
          <w:color w:val="000000" w:themeColor="text1"/>
          <w:spacing w:val="-37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41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pisemnie (waga</w:t>
      </w:r>
      <w:r>
        <w:rPr>
          <w:color w:val="000000" w:themeColor="text1"/>
          <w:spacing w:val="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41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praktycznie, tzn. w trakcie wykonywania doświadczeń (waga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0,3). Ocena klasyfikacyjna jest średnią ważoną ocen</w:t>
      </w:r>
      <w:r>
        <w:rPr>
          <w:color w:val="000000" w:themeColor="text1"/>
          <w:spacing w:val="1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08"/>
          <w:tab w:val="left" w:pos="378" w:leader="none"/>
        </w:tabs>
        <w:overflowPunct w:val="false"/>
        <w:spacing w:lineRule="auto" w:line="276" w:before="120" w:after="120"/>
        <w:ind w:left="125" w:hanging="0"/>
        <w:jc w:val="center"/>
        <w:rPr>
          <w:color w:val="000000" w:themeColor="text1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0.3\} over \{liczba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false"/>
        <w:spacing w:lineRule="auto" w:line="276" w:before="0" w:after="120"/>
        <w:ind w:left="57" w:firstLine="170"/>
        <w:contextualSpacing/>
        <w:jc w:val="both"/>
        <w:rPr>
          <w:rFonts w:ascii="Bookman Old Style" w:hAnsi="Bookman Old Style" w:cs="Bookman Old Style"/>
          <w:b/>
          <w:b/>
          <w:bCs w:val="false"/>
          <w:color w:val="000000" w:themeColor="text1"/>
          <w:spacing w:val="-5"/>
          <w:sz w:val="21"/>
          <w:szCs w:val="21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Na ocenę klasyfikacyjną wpływają również aktywność na lekcji i zaangażowanie w naukę. Te czynniki są brane pod uwagę zwłaszcza wtedy, gdy ocena jest pośrednia (np. 4,5).</w:t>
      </w:r>
    </w:p>
    <w:p>
      <w:pPr>
        <w:pStyle w:val="Normal"/>
        <w:rPr>
          <w:color w:val="000000" w:themeColor="text1"/>
        </w:rPr>
      </w:pPr>
      <w:r>
        <w:br w:type="column"/>
      </w:r>
      <w:r>
        <w:rPr>
          <w:rFonts w:cs="Bookman Old Style" w:ascii="Bookman Old Style" w:hAnsi="Bookman Old Style"/>
          <w:b/>
          <w:bCs w:val="false"/>
          <w:color w:val="000000" w:themeColor="text1"/>
          <w:spacing w:val="-5"/>
          <w:sz w:val="21"/>
          <w:szCs w:val="21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firstLine="170"/>
        <w:rPr>
          <w:rFonts w:ascii="Bookman Old Style" w:hAnsi="Bookman Old Style"/>
          <w:color w:val="000000" w:themeColor="text1"/>
          <w:sz w:val="17"/>
          <w:szCs w:val="17"/>
        </w:rPr>
      </w:pPr>
      <w:r>
        <w:rPr>
          <w:rFonts w:ascii="Bookman Old Style" w:hAnsi="Bookman Old Style"/>
          <w:color w:val="000000" w:themeColor="text1"/>
          <w:sz w:val="17"/>
          <w:szCs w:val="17"/>
        </w:rPr>
        <w:t>Zgodne z zapisami w </w:t>
      </w:r>
      <w:r>
        <w:rPr>
          <w:rFonts w:cs="Bookman Old Style" w:ascii="Bookman Old Style" w:hAnsi="Bookman Old Style"/>
          <w:b/>
          <w:bCs w:val="false"/>
          <w:color w:val="000000" w:themeColor="text1"/>
          <w:sz w:val="17"/>
          <w:szCs w:val="17"/>
        </w:rPr>
        <w:t xml:space="preserve">statucie </w:t>
      </w:r>
      <w:r>
        <w:rPr>
          <w:rFonts w:ascii="Bookman Old Style" w:hAnsi="Bookman Old Style"/>
          <w:color w:val="000000" w:themeColor="text1"/>
          <w:sz w:val="17"/>
          <w:szCs w:val="17"/>
        </w:rPr>
        <w:t>szkoły.</w:t>
      </w:r>
    </w:p>
    <w:p>
      <w:pPr>
        <w:pStyle w:val="Tretekstu"/>
        <w:overflowPunct w:val="false"/>
        <w:spacing w:lineRule="auto" w:line="276" w:before="12" w:after="0"/>
        <w:ind w:firstLine="170"/>
        <w:jc w:val="both"/>
        <w:rPr>
          <w:rFonts w:ascii="Bookman Old Style" w:hAnsi="Bookman Old Style"/>
          <w:color w:val="000000" w:themeColor="text1"/>
          <w:w w:val="105"/>
          <w:sz w:val="17"/>
          <w:szCs w:val="17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Starając się o podwyższenie przewidywanej oceny klasyfikacyjnej, uczeń powinien się wykazać umiejętnościami w zakresie tych elementów oceny, w których jego osiągnięcia nie spełniały wymagań. Jeśli np. jego słabą stroną były oceny „ustne", sprawdzanie odbywa się ustnie.</w:t>
      </w:r>
    </w:p>
    <w:p>
      <w:pPr>
        <w:sectPr>
          <w:type w:val="continuous"/>
          <w:pgSz w:orient="landscape" w:w="16838" w:h="11906"/>
          <w:pgMar w:left="1418" w:right="1418" w:gutter="0" w:header="709" w:top="1134" w:footer="709" w:bottom="1701"/>
          <w:cols w:num="2" w:space="708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Tretekstu"/>
        <w:overflowPunct w:val="false"/>
        <w:spacing w:lineRule="auto" w:line="276" w:before="12" w:after="0"/>
        <w:ind w:firstLine="170"/>
        <w:jc w:val="both"/>
        <w:rPr>
          <w:color w:val="000000" w:themeColor="text1"/>
        </w:rPr>
      </w:pPr>
      <w:r>
        <w:rPr/>
      </w:r>
    </w:p>
    <w:sectPr>
      <w:type w:val="continuous"/>
      <w:pgSz w:orient="landscape" w:w="16838" w:h="11906"/>
      <w:pgMar w:left="1418" w:right="1418" w:gutter="0" w:header="709" w:top="1134" w:footer="709" w:bottom="1701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HelveticaNeueLT Pro 55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Arial Rounded MT Bold"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auto"/>
    <w:pitch w:val="default"/>
  </w:font>
  <w:font w:name="HelveticaNeueLT Pro 55 Roman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  <w:font w:name="Century Gothic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StopkaSc"/>
      <w:rPr>
        <w:lang w:val="pl-PL"/>
      </w:rPr>
    </w:pPr>
    <w:r>
      <w:rPr>
        <w:lang w:val="pl-PL"/>
      </w:rPr>
      <w:t>Autor: Teresa Szalewska © Copyright by Nowa Era Sp. z o.o. • www.nowaera.pl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3">
              <wp:simplePos x="0" y="0"/>
              <wp:positionH relativeFrom="column">
                <wp:posOffset>-2341245</wp:posOffset>
              </wp:positionH>
              <wp:positionV relativeFrom="paragraph">
                <wp:posOffset>999490</wp:posOffset>
              </wp:positionV>
              <wp:extent cx="3399155" cy="502285"/>
              <wp:effectExtent l="0" t="0" r="0" b="0"/>
              <wp:wrapNone/>
              <wp:docPr id="6" name="Grupa 1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8400" cy="501480"/>
                        <a:chOff x="-2341080" y="999360"/>
                        <a:chExt cx="3398400" cy="50148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2565360" cy="446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772200" cy="446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48" h="1239">
                                <a:moveTo>
                                  <a:pt x="0" y="1238"/>
                                </a:moveTo>
                                <a:lnTo>
                                  <a:pt x="2147" y="1238"/>
                                </a:lnTo>
                                <a:lnTo>
                                  <a:pt x="21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3280" y="0"/>
                            <a:ext cx="1792080" cy="446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978" h="1239">
                                <a:moveTo>
                                  <a:pt x="0" y="1238"/>
                                </a:moveTo>
                                <a:lnTo>
                                  <a:pt x="4977" y="1238"/>
                                </a:lnTo>
                                <a:lnTo>
                                  <a:pt x="49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 rot="5400000">
                          <a:off x="1867680" y="-1028880"/>
                          <a:ext cx="262080" cy="2799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15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15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Arial" w:hAnsi="Arial" w:cs="Arial"/>
                                <w:color w:val="FFFFFF"/>
                              </w:rPr>
                              <w:t>12Przedmiotowy system oceniania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14" style="position:absolute;margin-left:-184.35pt;margin-top:-2.3pt;width:202pt;height:220.4pt" coordorigin="-3687,-46" coordsize="4040,4408">
              <v:group id="shape_0" style="position:absolute;left:-3687;top:1574;width:4040;height:703"/>
              <v:rect id="shape_0" path="m0,0l-2147483645,0l-2147483645,-2147483646l0,-2147483646xe" stroked="f" o:allowincell="f" style="position:absolute;left:-746;top:-46;width:412;height:4407;mso-wrap-style:square;v-text-anchor:top;rotation:90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15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15"/>
                          <w:bCs w:val="false"/>
                          <w:iCs w:val="false"/>
                          <w:smallCaps w:val="false"/>
                          <w:caps w:val="false"/>
                          <w:rFonts w:ascii="Arial" w:hAnsi="Arial" w:cs="Arial"/>
                          <w:color w:val="FFFFFF"/>
                        </w:rPr>
                        <w:t>12Przedmiotowy system oceniania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rect>
            </v:group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-2348230</wp:posOffset>
              </wp:positionH>
              <wp:positionV relativeFrom="paragraph">
                <wp:posOffset>986790</wp:posOffset>
              </wp:positionV>
              <wp:extent cx="3399155" cy="502285"/>
              <wp:effectExtent l="0" t="0" r="0" b="0"/>
              <wp:wrapNone/>
              <wp:docPr id="7" name="Grupa 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8400" cy="501480"/>
                        <a:chOff x="-2348280" y="986760"/>
                        <a:chExt cx="3398400" cy="50148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2566080" cy="446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772200" cy="446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48" h="1239">
                                <a:moveTo>
                                  <a:pt x="0" y="1238"/>
                                </a:moveTo>
                                <a:lnTo>
                                  <a:pt x="2147" y="1238"/>
                                </a:lnTo>
                                <a:lnTo>
                                  <a:pt x="21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3280" y="0"/>
                            <a:ext cx="1792440" cy="446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978" h="1239">
                                <a:moveTo>
                                  <a:pt x="0" y="1238"/>
                                </a:moveTo>
                                <a:lnTo>
                                  <a:pt x="4977" y="1238"/>
                                </a:lnTo>
                                <a:lnTo>
                                  <a:pt x="49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 rot="5400000">
                          <a:off x="1867320" y="-1029240"/>
                          <a:ext cx="262080" cy="279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15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15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Arial" w:hAnsi="Arial" w:cs="Arial"/>
                                <w:color w:val="FFFFFF"/>
                              </w:rPr>
                              <w:t>15Przedmiotowy system oceniania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9" style="position:absolute;margin-left:-184.9pt;margin-top:-3.35pt;width:202.05pt;height:220.45pt" coordorigin="-3698,-67" coordsize="4041,4409">
              <v:group id="shape_0" style="position:absolute;left:-3698;top:1554;width:4041;height:703"/>
              <v:rect id="shape_0" path="m0,0l-2147483645,0l-2147483645,-2147483646l0,-2147483646xe" stroked="f" o:allowincell="f" style="position:absolute;left:-757;top:-66;width:412;height:4408;mso-wrap-style:square;v-text-anchor:top;rotation:90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15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15"/>
                          <w:bCs w:val="false"/>
                          <w:iCs w:val="false"/>
                          <w:smallCaps w:val="false"/>
                          <w:caps w:val="false"/>
                          <w:rFonts w:ascii="Arial" w:hAnsi="Arial" w:cs="Arial"/>
                          <w:color w:val="FFFFFF"/>
                        </w:rPr>
                        <w:t>15Przedmiotowy system oceniania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rect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HelveticaNeueLT Pro 55 Roman" w:hAnsi="HelveticaNeueLT Pro 55 Roman" w:cs="HelveticaNeueLT Pro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"/>
      <w:lvlJc w:val="left"/>
      <w:pPr>
        <w:tabs>
          <w:tab w:val="num" w:pos="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lvl w:ilvl="0">
      <w:numFmt w:val="bullet"/>
      <w:lvlText w:val="•"/>
      <w:lvlJc w:val="left"/>
      <w:pPr>
        <w:tabs>
          <w:tab w:val="num" w:pos="0"/>
        </w:tabs>
        <w:ind w:left="841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18" w:hanging="22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96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4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52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30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08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86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64" w:hanging="222"/>
      </w:pPr>
      <w:rPr>
        <w:rFonts w:ascii="Symbol" w:hAnsi="Symbol" w:cs="Symbol" w:hint="default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4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color w:val="0000FF"/>
    </w:rPr>
  </w:style>
  <w:style w:type="paragraph" w:styleId="Nagwek2">
    <w:name w:val="Heading 2"/>
    <w:basedOn w:val="Normal"/>
    <w:next w:val="Normal"/>
    <w:qFormat/>
    <w:pPr>
      <w:keepNext w:val="true"/>
      <w:spacing w:before="0" w:after="120"/>
      <w:outlineLvl w:val="1"/>
    </w:pPr>
    <w:rPr>
      <w:b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49457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49457d"/>
    <w:rPr/>
  </w:style>
  <w:style w:type="character" w:styleId="TematkomentarzaZnak" w:customStyle="1">
    <w:name w:val="Temat komentarza Znak"/>
    <w:link w:val="Tematkomentarza"/>
    <w:uiPriority w:val="99"/>
    <w:semiHidden/>
    <w:qFormat/>
    <w:rsid w:val="0049457d"/>
    <w:rPr>
      <w:b/>
      <w:bCs/>
    </w:rPr>
  </w:style>
  <w:style w:type="character" w:styleId="TekstdymkaZnak" w:customStyle="1">
    <w:name w:val="Tekst dymka Znak"/>
    <w:link w:val="Tekstdymka"/>
    <w:uiPriority w:val="99"/>
    <w:semiHidden/>
    <w:qFormat/>
    <w:rsid w:val="0049457d"/>
    <w:rPr>
      <w:rFonts w:ascii="Tahoma" w:hAnsi="Tahoma" w:cs="Tahoma"/>
      <w:sz w:val="16"/>
      <w:szCs w:val="16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de1adb"/>
    <w:rPr>
      <w:sz w:val="24"/>
      <w:szCs w:val="24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semiHidden/>
    <w:qFormat/>
    <w:rsid w:val="00de1adb"/>
    <w:rPr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24e56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24e56"/>
    <w:rPr>
      <w:sz w:val="24"/>
      <w:szCs w:val="24"/>
    </w:rPr>
  </w:style>
  <w:style w:type="character" w:styleId="StopkaScZnak" w:customStyle="1">
    <w:name w:val="stopka_Sc Znak"/>
    <w:basedOn w:val="StopkaZnak"/>
    <w:link w:val="stopkaSc"/>
    <w:qFormat/>
    <w:rsid w:val="00524e56"/>
    <w:rPr>
      <w:rFonts w:ascii="HelveticaNeueLT Pro 55 Roman" w:hAnsi="HelveticaNeueLT Pro 55 Roman" w:eastAsia="Calibri" w:eastAsiaTheme="minorHAnsi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573155"/>
    <w:rPr>
      <w:color w:val="808080"/>
    </w:rPr>
  </w:style>
  <w:style w:type="character" w:styleId="Nagwek5Znak">
    <w:name w:val="Nagłówek 5 Znak"/>
    <w:qFormat/>
    <w:rPr>
      <w:rFonts w:ascii="Calibri Light" w:hAnsi="Calibri Light" w:cs="0"/>
      <w:color w:val="2E74B5"/>
    </w:rPr>
  </w:style>
  <w:style w:type="character" w:styleId="Nagwek2Znak">
    <w:name w:val="Nagłówek 2 Znak"/>
    <w:qFormat/>
    <w:rPr>
      <w:b/>
      <w:color w:val="0000FF"/>
      <w:sz w:val="24"/>
      <w:szCs w:val="24"/>
    </w:rPr>
  </w:style>
  <w:style w:type="character" w:styleId="TekstpodstawowyZnak">
    <w:name w:val="Tekst podstawowy Znak"/>
    <w:qFormat/>
    <w:rPr>
      <w:color w:val="0000FF"/>
      <w:sz w:val="24"/>
      <w:szCs w:val="24"/>
    </w:rPr>
  </w:style>
  <w:style w:type="character" w:styleId="Nagwek4Znak">
    <w:name w:val="Nagłówek 4 Znak"/>
    <w:qFormat/>
    <w:rPr>
      <w:b/>
      <w:bCs/>
      <w:sz w:val="24"/>
      <w:szCs w:val="24"/>
    </w:rPr>
  </w:style>
  <w:style w:type="character" w:styleId="TekstdymkaZnak1">
    <w:name w:val="Tekst dymka Znak1"/>
    <w:qFormat/>
    <w:rPr>
      <w:rFonts w:ascii="Segoe UI" w:hAnsi="Segoe UI" w:cs="Segoe UI"/>
      <w:sz w:val="18"/>
      <w:szCs w:val="18"/>
    </w:rPr>
  </w:style>
  <w:style w:type="character" w:styleId="Pagenumber">
    <w:name w:val="page number"/>
    <w:qFormat/>
    <w:rPr/>
  </w:style>
  <w:style w:type="character" w:styleId="FootnoteCharacters">
    <w:name w:val="Footnote Characters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semiHidden/>
    <w:pPr/>
    <w:rPr>
      <w:bCs/>
      <w:color w:val="FF000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ytu">
    <w:name w:val="Title"/>
    <w:basedOn w:val="Normal"/>
    <w:qFormat/>
    <w:pPr>
      <w:jc w:val="center"/>
    </w:pPr>
    <w:rPr>
      <w:b/>
      <w:sz w:val="28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next w:val="Normal"/>
    <w:qFormat/>
    <w:pPr>
      <w:spacing w:before="120" w:after="0"/>
    </w:pPr>
    <w:rPr>
      <w:b/>
      <w:bCs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9457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9457d"/>
    <w:pPr/>
    <w:rPr>
      <w:b/>
      <w:bCs/>
    </w:rPr>
  </w:style>
  <w:style w:type="paragraph" w:styleId="Revision">
    <w:name w:val="Revision"/>
    <w:uiPriority w:val="99"/>
    <w:semiHidden/>
    <w:qFormat/>
    <w:rsid w:val="004945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9457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de1adb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Tekstpodstawowywcity2Znak"/>
    <w:uiPriority w:val="99"/>
    <w:semiHidden/>
    <w:unhideWhenUsed/>
    <w:qFormat/>
    <w:rsid w:val="00de1adb"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uiPriority w:val="1"/>
    <w:qFormat/>
    <w:rsid w:val="00524e56"/>
    <w:pPr>
      <w:widowControl w:val="false"/>
      <w:spacing w:before="5" w:after="0"/>
      <w:ind w:left="841" w:hanging="0"/>
    </w:pPr>
    <w:rPr>
      <w:rFonts w:ascii="Book Antiqua" w:hAnsi="Book Antiqua" w:eastAsia="" w:cs="Book Antiqua" w:eastAsiaTheme="minorEastAsia"/>
    </w:rPr>
  </w:style>
  <w:style w:type="paragraph" w:styleId="Gwka">
    <w:name w:val="Header"/>
    <w:basedOn w:val="Normal"/>
    <w:link w:val="NagwekZnak"/>
    <w:uiPriority w:val="99"/>
    <w:unhideWhenUsed/>
    <w:rsid w:val="00524e5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Sc" w:customStyle="1">
    <w:name w:val="stopka_Sc"/>
    <w:basedOn w:val="Stopka"/>
    <w:link w:val="stopkaScZnak"/>
    <w:qFormat/>
    <w:rsid w:val="00524e56"/>
    <w:pPr/>
    <w:rPr>
      <w:rFonts w:ascii="HelveticaNeueLT Pro 55 Roman" w:hAnsi="HelveticaNeueLT Pro 55 Roman" w:eastAsia="Calibri" w:eastAsiaTheme="minorHAnsi"/>
      <w:sz w:val="16"/>
      <w:szCs w:val="16"/>
      <w:lang w:val="en-US" w:eastAsia="en-US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3">
    <w:name w:val="Body Text 3"/>
    <w:basedOn w:val="Normal"/>
    <w:qFormat/>
    <w:pPr>
      <w:jc w:val="both"/>
    </w:pPr>
    <w:rPr/>
  </w:style>
  <w:style w:type="paragraph" w:styleId="BodyText2">
    <w:name w:val="Body Text 2"/>
    <w:basedOn w:val="Normal"/>
    <w:qFormat/>
    <w:pPr>
      <w:spacing w:lineRule="auto" w:line="360"/>
    </w:pPr>
    <w:rPr>
      <w:color w:val="FF00F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footer" Target="footer2.xml"/><Relationship Id="rId12" Type="http://schemas.openxmlformats.org/officeDocument/2006/relationships/customXml" Target="../customXml/item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5" Type="http://schemas.openxmlformats.org/officeDocument/2006/relationships/customXml" Target="../customXml/item4.xml"/><Relationship Id="rId10" Type="http://schemas.openxmlformats.org/officeDocument/2006/relationships/settings" Target="settings.xml"/><Relationship Id="rId4" Type="http://schemas.openxmlformats.org/officeDocument/2006/relationships/header" Target="header1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1B06E5B-695B-4CEF-AF25-1D3AD493F8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78E4CB-485B-4A7E-8103-3345527170B2}"/>
</file>

<file path=customXml/itemProps3.xml><?xml version="1.0" encoding="utf-8"?>
<ds:datastoreItem xmlns:ds="http://schemas.openxmlformats.org/officeDocument/2006/customXml" ds:itemID="{0E2569B9-C4EA-452C-B6D4-FC61A12AB013}"/>
</file>

<file path=customXml/itemProps4.xml><?xml version="1.0" encoding="utf-8"?>
<ds:datastoreItem xmlns:ds="http://schemas.openxmlformats.org/officeDocument/2006/customXml" ds:itemID="{7A07F4AD-D01A-43C3-951A-F8964499A6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LibreOffice/7.2.0.4$Windows_X86_64 LibreOffice_project/9a9c6381e3f7a62afc1329bd359cc48accb6435b</Application>
  <AppVersion>15.0000</AppVersion>
  <Pages>11</Pages>
  <Words>4896</Words>
  <Characters>33048</Characters>
  <CharactersWithSpaces>36950</CharactersWithSpaces>
  <Paragraphs>595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Kutajczyk</dc:creator>
  <dc:description/>
  <cp:lastModifiedBy/>
  <cp:revision>8</cp:revision>
  <dcterms:modified xsi:type="dcterms:W3CDTF">2022-08-31T17:36:44Z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